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c52cefd0d774dd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b/>
          <w:color w:val="4F6228" w:themeColor="accent3" w:themeShade="80"/>
          <w:sz w:val="80"/>
          <w:szCs w:val="80"/>
          <w:lang w:val="en-AU"/>
        </w:rPr>
        <w:id w:val="29347657"/>
        <w:docPartObj>
          <w:docPartGallery w:val="Cover Pages"/>
          <w:docPartUnique/>
        </w:docPartObj>
      </w:sdtPr>
      <w:sdtEndPr>
        <w:rPr>
          <w:rFonts w:ascii="Calibri" w:eastAsiaTheme="minorHAnsi" w:hAnsi="Calibri"/>
          <w:bCs/>
          <w:iCs/>
          <w:color w:val="auto"/>
          <w:sz w:val="24"/>
          <w:szCs w:val="22"/>
        </w:rPr>
      </w:sdtEndPr>
      <w:sdtContent>
        <w:tbl>
          <w:tblPr>
            <w:tblpPr w:leftFromText="187" w:rightFromText="187" w:horzAnchor="margin" w:tblpXSpec="center" w:tblpY="2881"/>
            <w:tblW w:w="4094" w:type="pct"/>
            <w:tblBorders>
              <w:left w:val="single" w:sz="18" w:space="0" w:color="4F81BD" w:themeColor="accent1"/>
            </w:tblBorders>
            <w:tblLook w:val="04A0" w:firstRow="1" w:lastRow="0" w:firstColumn="1" w:lastColumn="0" w:noHBand="0" w:noVBand="1"/>
          </w:tblPr>
          <w:tblGrid>
            <w:gridCol w:w="7841"/>
          </w:tblGrid>
          <w:tr w:rsidR="00F50741" w:rsidRPr="00077477" w14:paraId="38E08668" w14:textId="77777777" w:rsidTr="00860A1F">
            <w:tc>
              <w:tcPr>
                <w:tcW w:w="7841" w:type="dxa"/>
                <w:tcBorders>
                  <w:left w:val="single" w:sz="18" w:space="0" w:color="4F6228" w:themeColor="accent3" w:themeShade="80"/>
                </w:tcBorders>
              </w:tcPr>
              <w:sdt>
                <w:sdtPr>
                  <w:rPr>
                    <w:rFonts w:ascii="Arial" w:eastAsiaTheme="majorEastAsia" w:hAnsi="Arial" w:cs="Arial"/>
                    <w:b/>
                    <w:color w:val="4F6228" w:themeColor="accent3" w:themeShade="80"/>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3D95DA32" w14:textId="6B70AEB4" w:rsidR="00F50741" w:rsidRPr="00077477" w:rsidRDefault="00854287" w:rsidP="00860A1F">
                    <w:pPr>
                      <w:pStyle w:val="NoSpacing"/>
                      <w:rPr>
                        <w:rFonts w:ascii="Arial" w:eastAsiaTheme="majorEastAsia" w:hAnsi="Arial" w:cs="Arial"/>
                        <w:color w:val="4F6228" w:themeColor="accent3" w:themeShade="80"/>
                        <w:sz w:val="80"/>
                        <w:szCs w:val="80"/>
                      </w:rPr>
                    </w:pPr>
                    <w:r>
                      <w:rPr>
                        <w:rFonts w:ascii="Arial" w:eastAsiaTheme="majorEastAsia" w:hAnsi="Arial" w:cs="Arial"/>
                        <w:b/>
                        <w:color w:val="4F6228" w:themeColor="accent3" w:themeShade="80"/>
                        <w:sz w:val="80"/>
                        <w:szCs w:val="80"/>
                      </w:rPr>
                      <w:t xml:space="preserve">Biosecurity </w:t>
                    </w:r>
                    <w:r w:rsidR="00860A1F">
                      <w:rPr>
                        <w:rFonts w:ascii="Arial" w:eastAsiaTheme="majorEastAsia" w:hAnsi="Arial" w:cs="Arial"/>
                        <w:b/>
                        <w:color w:val="4F6228" w:themeColor="accent3" w:themeShade="80"/>
                        <w:sz w:val="80"/>
                        <w:szCs w:val="80"/>
                      </w:rPr>
                      <w:t>Council Stakeholder Workshop</w:t>
                    </w:r>
                  </w:p>
                </w:sdtContent>
              </w:sdt>
            </w:tc>
          </w:tr>
          <w:tr w:rsidR="00F50741" w:rsidRPr="005364E9" w14:paraId="128EC9E9" w14:textId="77777777" w:rsidTr="00860A1F">
            <w:sdt>
              <w:sdtPr>
                <w:rPr>
                  <w:rFonts w:ascii="Arial" w:eastAsiaTheme="majorEastAsia" w:hAnsi="Arial" w:cs="Arial"/>
                  <w:b/>
                  <w:sz w:val="36"/>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841" w:type="dxa"/>
                    <w:tcBorders>
                      <w:left w:val="single" w:sz="18" w:space="0" w:color="4F6228" w:themeColor="accent3" w:themeShade="80"/>
                    </w:tcBorders>
                    <w:tcMar>
                      <w:top w:w="216" w:type="dxa"/>
                      <w:left w:w="115" w:type="dxa"/>
                      <w:bottom w:w="216" w:type="dxa"/>
                      <w:right w:w="115" w:type="dxa"/>
                    </w:tcMar>
                  </w:tcPr>
                  <w:p w14:paraId="1891203F" w14:textId="70E43F37" w:rsidR="00F50741" w:rsidRPr="005364E9" w:rsidRDefault="00860A1F" w:rsidP="00860A1F">
                    <w:pPr>
                      <w:pStyle w:val="NoSpacing"/>
                      <w:rPr>
                        <w:rFonts w:ascii="Arial" w:eastAsiaTheme="majorEastAsia" w:hAnsi="Arial" w:cs="Arial"/>
                      </w:rPr>
                    </w:pPr>
                    <w:r>
                      <w:rPr>
                        <w:rFonts w:ascii="Arial" w:eastAsiaTheme="majorEastAsia" w:hAnsi="Arial" w:cs="Arial"/>
                        <w:b/>
                        <w:sz w:val="36"/>
                      </w:rPr>
                      <w:t>Report on workshop held 10 July 2015</w:t>
                    </w:r>
                  </w:p>
                </w:tc>
              </w:sdtContent>
            </w:sdt>
          </w:tr>
        </w:tbl>
        <w:p w14:paraId="1C5C419E" w14:textId="336252C4" w:rsidR="00803872" w:rsidRDefault="006F0E8E" w:rsidP="00F85F27">
          <w:r>
            <w:rPr>
              <w:noProof/>
              <w:lang w:eastAsia="en-AU"/>
            </w:rPr>
            <w:drawing>
              <wp:inline distT="0" distB="0" distL="0" distR="0" wp14:anchorId="59472704" wp14:editId="19B0A75C">
                <wp:extent cx="739140" cy="693420"/>
                <wp:effectExtent l="0" t="0" r="3810" b="0"/>
                <wp:docPr id="6" name="Picture 6" descr="Condensed%20landscape%20logo%20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ensed%20landscape%20logo%20mono"/>
                        <pic:cNvPicPr>
                          <a:picLocks noChangeAspect="1" noChangeArrowheads="1"/>
                        </pic:cNvPicPr>
                      </pic:nvPicPr>
                      <pic:blipFill>
                        <a:blip r:embed="rId10">
                          <a:extLst>
                            <a:ext uri="{28A0092B-C50C-407E-A947-70E740481C1C}">
                              <a14:useLocalDpi xmlns:a14="http://schemas.microsoft.com/office/drawing/2010/main" val="0"/>
                            </a:ext>
                          </a:extLst>
                        </a:blip>
                        <a:srcRect r="77431"/>
                        <a:stretch>
                          <a:fillRect/>
                        </a:stretch>
                      </pic:blipFill>
                      <pic:spPr bwMode="auto">
                        <a:xfrm>
                          <a:off x="0" y="0"/>
                          <a:ext cx="739140" cy="693420"/>
                        </a:xfrm>
                        <a:prstGeom prst="rect">
                          <a:avLst/>
                        </a:prstGeom>
                        <a:noFill/>
                        <a:ln>
                          <a:noFill/>
                        </a:ln>
                      </pic:spPr>
                    </pic:pic>
                  </a:graphicData>
                </a:graphic>
              </wp:inline>
            </w:drawing>
          </w:r>
          <w:r>
            <w:rPr>
              <w:noProof/>
              <w:lang w:eastAsia="en-AU"/>
            </w:rPr>
            <w:drawing>
              <wp:inline distT="0" distB="0" distL="0" distR="0" wp14:anchorId="7B22AEAB" wp14:editId="36A204BF">
                <wp:extent cx="5021580" cy="901309"/>
                <wp:effectExtent l="0" t="0" r="7620" b="0"/>
                <wp:docPr id="3" name="Picture 3" descr="Biosecurity Council of Western Au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Council letterhead.jpg"/>
                        <pic:cNvPicPr/>
                      </pic:nvPicPr>
                      <pic:blipFill rotWithShape="1">
                        <a:blip r:embed="rId11">
                          <a:extLst>
                            <a:ext uri="{28A0092B-C50C-407E-A947-70E740481C1C}">
                              <a14:useLocalDpi xmlns:a14="http://schemas.microsoft.com/office/drawing/2010/main" val="0"/>
                            </a:ext>
                          </a:extLst>
                        </a:blip>
                        <a:srcRect b="28813"/>
                        <a:stretch/>
                      </pic:blipFill>
                      <pic:spPr bwMode="auto">
                        <a:xfrm>
                          <a:off x="0" y="0"/>
                          <a:ext cx="5021580" cy="901309"/>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Spec="bottom"/>
            <w:tblW w:w="4000" w:type="pct"/>
            <w:tblLook w:val="04A0" w:firstRow="1" w:lastRow="0" w:firstColumn="1" w:lastColumn="0" w:noHBand="0" w:noVBand="1"/>
          </w:tblPr>
          <w:tblGrid>
            <w:gridCol w:w="7672"/>
          </w:tblGrid>
          <w:tr w:rsidR="00F50741" w:rsidRPr="00241E3B" w14:paraId="40D440B9" w14:textId="77777777">
            <w:tc>
              <w:tcPr>
                <w:tcW w:w="7672" w:type="dxa"/>
                <w:tcMar>
                  <w:top w:w="216" w:type="dxa"/>
                  <w:left w:w="115" w:type="dxa"/>
                  <w:bottom w:w="216" w:type="dxa"/>
                  <w:right w:w="115" w:type="dxa"/>
                </w:tcMar>
              </w:tcPr>
              <w:p w14:paraId="1A4E16FA" w14:textId="77777777" w:rsidR="00921C84" w:rsidRPr="00241E3B" w:rsidRDefault="00921C84" w:rsidP="00F85F27">
                <w:pPr>
                  <w:pStyle w:val="NoSpacing"/>
                  <w:rPr>
                    <w:rFonts w:ascii="Arial" w:hAnsi="Arial" w:cs="Arial"/>
                    <w:color w:val="4F81BD" w:themeColor="accent1"/>
                  </w:rPr>
                </w:pPr>
              </w:p>
            </w:tc>
          </w:tr>
        </w:tbl>
        <w:p w14:paraId="57CD84C5" w14:textId="77777777" w:rsidR="00973438" w:rsidRDefault="00973438" w:rsidP="00F85F27">
          <w:pPr>
            <w:spacing w:line="240" w:lineRule="auto"/>
            <w:rPr>
              <w:rFonts w:ascii="Calibri" w:hAnsi="Calibri" w:cs="Arial"/>
              <w:bCs/>
              <w:iCs/>
              <w:sz w:val="24"/>
            </w:rPr>
          </w:pPr>
          <w:r>
            <w:rPr>
              <w:rFonts w:ascii="Calibri" w:hAnsi="Calibri" w:cs="Arial"/>
              <w:bCs/>
              <w:iCs/>
              <w:sz w:val="24"/>
            </w:rPr>
            <w:br w:type="page"/>
          </w:r>
        </w:p>
        <w:p w14:paraId="6AFB36AC" w14:textId="77777777" w:rsidR="00480AD7" w:rsidRDefault="00480AD7" w:rsidP="00F85F27">
          <w:pPr>
            <w:rPr>
              <w:rFonts w:cs="Arial"/>
              <w:bCs/>
              <w:iCs/>
              <w:sz w:val="24"/>
              <w:szCs w:val="24"/>
            </w:rPr>
          </w:pPr>
        </w:p>
        <w:p w14:paraId="27CE9046" w14:textId="48A5316D" w:rsidR="00173FF4" w:rsidRPr="00274CE9" w:rsidRDefault="00435F0D" w:rsidP="00480AD7">
          <w:pPr>
            <w:spacing w:before="4400"/>
            <w:rPr>
              <w:rFonts w:cs="Arial"/>
              <w:bCs/>
              <w:iCs/>
              <w:sz w:val="24"/>
              <w:szCs w:val="24"/>
            </w:rPr>
          </w:pPr>
          <w:r w:rsidRPr="00274CE9">
            <w:rPr>
              <w:rFonts w:cs="Arial"/>
              <w:bCs/>
              <w:iCs/>
              <w:sz w:val="24"/>
              <w:szCs w:val="24"/>
            </w:rPr>
            <w:t xml:space="preserve">This </w:t>
          </w:r>
          <w:r w:rsidR="00473C45" w:rsidRPr="00274CE9">
            <w:rPr>
              <w:rFonts w:cs="Arial"/>
              <w:bCs/>
              <w:iCs/>
              <w:sz w:val="24"/>
              <w:szCs w:val="24"/>
            </w:rPr>
            <w:t>report</w:t>
          </w:r>
          <w:r w:rsidRPr="00274CE9">
            <w:rPr>
              <w:rFonts w:cs="Arial"/>
              <w:bCs/>
              <w:iCs/>
              <w:sz w:val="24"/>
              <w:szCs w:val="24"/>
            </w:rPr>
            <w:t xml:space="preserve"> was </w:t>
          </w:r>
          <w:r w:rsidR="00473C45" w:rsidRPr="00274CE9">
            <w:rPr>
              <w:rFonts w:cs="Arial"/>
              <w:bCs/>
              <w:iCs/>
              <w:sz w:val="24"/>
              <w:szCs w:val="24"/>
            </w:rPr>
            <w:t>prepared</w:t>
          </w:r>
          <w:r w:rsidRPr="00274CE9">
            <w:rPr>
              <w:rFonts w:cs="Arial"/>
              <w:bCs/>
              <w:iCs/>
              <w:sz w:val="24"/>
              <w:szCs w:val="24"/>
            </w:rPr>
            <w:t xml:space="preserve"> by the Biosecuri</w:t>
          </w:r>
          <w:r w:rsidR="00473C45" w:rsidRPr="00274CE9">
            <w:rPr>
              <w:rFonts w:cs="Arial"/>
              <w:bCs/>
              <w:iCs/>
              <w:sz w:val="24"/>
              <w:szCs w:val="24"/>
            </w:rPr>
            <w:t>ty Council of Western Australia</w:t>
          </w:r>
          <w:r w:rsidR="0082568B" w:rsidRPr="00274CE9">
            <w:rPr>
              <w:rFonts w:cs="Arial"/>
              <w:bCs/>
              <w:iCs/>
              <w:sz w:val="24"/>
              <w:szCs w:val="24"/>
            </w:rPr>
            <w:t>.</w:t>
          </w:r>
        </w:p>
        <w:p w14:paraId="7C7FE874" w14:textId="77777777" w:rsidR="00B01774" w:rsidRDefault="00B01774" w:rsidP="00F85F27">
          <w:pPr>
            <w:rPr>
              <w:rFonts w:cs="Arial"/>
              <w:bCs/>
              <w:iCs/>
            </w:rPr>
          </w:pPr>
        </w:p>
        <w:p w14:paraId="5205A6E5" w14:textId="355EA325" w:rsidR="00B01774" w:rsidRDefault="00B01774" w:rsidP="00F85F27">
          <w:pPr>
            <w:rPr>
              <w:rFonts w:cs="Arial"/>
              <w:bCs/>
              <w:iCs/>
              <w:sz w:val="24"/>
              <w:szCs w:val="24"/>
            </w:rPr>
          </w:pPr>
          <w:r w:rsidRPr="00274CE9">
            <w:rPr>
              <w:rFonts w:cs="Arial"/>
              <w:bCs/>
              <w:iCs/>
              <w:sz w:val="24"/>
              <w:szCs w:val="24"/>
            </w:rPr>
            <w:t>The Biosecurity Council are grateful to the stakeholder</w:t>
          </w:r>
          <w:r w:rsidR="00420611" w:rsidRPr="00274CE9">
            <w:rPr>
              <w:rFonts w:cs="Arial"/>
              <w:bCs/>
              <w:iCs/>
              <w:sz w:val="24"/>
              <w:szCs w:val="24"/>
            </w:rPr>
            <w:t>s</w:t>
          </w:r>
          <w:r w:rsidRPr="00274CE9">
            <w:rPr>
              <w:rFonts w:cs="Arial"/>
              <w:bCs/>
              <w:iCs/>
              <w:sz w:val="24"/>
              <w:szCs w:val="24"/>
            </w:rPr>
            <w:t xml:space="preserve"> that participated in the </w:t>
          </w:r>
          <w:r w:rsidR="00860A1F" w:rsidRPr="00274CE9">
            <w:rPr>
              <w:rFonts w:cs="Arial"/>
              <w:bCs/>
              <w:iCs/>
              <w:sz w:val="24"/>
              <w:szCs w:val="24"/>
            </w:rPr>
            <w:t>workshop</w:t>
          </w:r>
          <w:r w:rsidRPr="00274CE9">
            <w:rPr>
              <w:rFonts w:cs="Arial"/>
              <w:bCs/>
              <w:iCs/>
              <w:sz w:val="24"/>
              <w:szCs w:val="24"/>
            </w:rPr>
            <w:t>.</w:t>
          </w:r>
        </w:p>
        <w:p w14:paraId="4A10485D" w14:textId="77777777" w:rsidR="00274CE9" w:rsidRDefault="00274CE9" w:rsidP="00F85F27">
          <w:pPr>
            <w:rPr>
              <w:rFonts w:cs="Arial"/>
              <w:bCs/>
              <w:iCs/>
              <w:sz w:val="24"/>
              <w:szCs w:val="24"/>
            </w:rPr>
          </w:pPr>
        </w:p>
        <w:p w14:paraId="6DB50627" w14:textId="54B9F55C" w:rsidR="00274CE9" w:rsidRPr="00274CE9" w:rsidRDefault="00274CE9" w:rsidP="00F85F27">
          <w:pPr>
            <w:rPr>
              <w:rFonts w:cs="Arial"/>
              <w:b/>
              <w:bCs/>
              <w:iCs/>
              <w:sz w:val="24"/>
              <w:szCs w:val="24"/>
            </w:rPr>
          </w:pPr>
          <w:r>
            <w:rPr>
              <w:rFonts w:cs="Arial"/>
              <w:b/>
              <w:bCs/>
              <w:iCs/>
              <w:sz w:val="24"/>
              <w:szCs w:val="24"/>
            </w:rPr>
            <w:t>October 2015</w:t>
          </w:r>
        </w:p>
        <w:p w14:paraId="3A81948A" w14:textId="14B46CEB" w:rsidR="00473C45" w:rsidRDefault="00473C45" w:rsidP="00F85F27">
          <w:pPr>
            <w:rPr>
              <w:rFonts w:cs="Arial"/>
              <w:bCs/>
              <w:iCs/>
            </w:rPr>
          </w:pPr>
        </w:p>
        <w:p w14:paraId="7D06B98A" w14:textId="77777777" w:rsidR="00274CE9" w:rsidRPr="00CD142D" w:rsidRDefault="00274CE9" w:rsidP="00F85F27">
          <w:pPr>
            <w:rPr>
              <w:rFonts w:cs="Arial"/>
              <w:bCs/>
              <w:iCs/>
            </w:rPr>
          </w:pPr>
        </w:p>
        <w:p w14:paraId="6881879D" w14:textId="77777777" w:rsidR="00274CE9" w:rsidRPr="00274CE9" w:rsidRDefault="00274CE9" w:rsidP="00274CE9">
          <w:pPr>
            <w:rPr>
              <w:rFonts w:cs="Arial"/>
              <w:bCs/>
              <w:iCs/>
              <w:sz w:val="24"/>
              <w:szCs w:val="24"/>
            </w:rPr>
          </w:pPr>
          <w:r w:rsidRPr="00274CE9">
            <w:rPr>
              <w:rFonts w:cs="Arial"/>
              <w:b/>
              <w:iCs/>
              <w:sz w:val="24"/>
              <w:szCs w:val="24"/>
            </w:rPr>
            <w:t>Important disclaimer</w:t>
          </w:r>
          <w:r w:rsidRPr="00274CE9">
            <w:rPr>
              <w:rFonts w:cs="Arial"/>
              <w:b/>
              <w:bCs/>
              <w:i/>
              <w:szCs w:val="24"/>
            </w:rPr>
            <w:br/>
          </w:r>
          <w:r w:rsidRPr="00274CE9">
            <w:rPr>
              <w:rFonts w:cs="Arial"/>
              <w:bCs/>
              <w:iCs/>
            </w:rPr>
            <w:br/>
          </w:r>
          <w:r w:rsidRPr="00274CE9">
            <w:rPr>
              <w:rFonts w:cs="Arial"/>
              <w:bCs/>
              <w:iCs/>
              <w:sz w:val="24"/>
              <w:szCs w:val="24"/>
            </w:rPr>
            <w:t>The Chief Executive Officer of the Department of Agriculture and Food and the State of Western Australia accept no liability whatsoever by reason of negligence or otherwise arising from the use or release of this information or any part of it.</w:t>
          </w:r>
        </w:p>
        <w:p w14:paraId="4C3C8919" w14:textId="77777777" w:rsidR="00274CE9" w:rsidRPr="00274CE9" w:rsidRDefault="00274CE9" w:rsidP="00274CE9">
          <w:pPr>
            <w:rPr>
              <w:rFonts w:cs="Arial"/>
              <w:bCs/>
              <w:iCs/>
              <w:sz w:val="24"/>
              <w:szCs w:val="24"/>
            </w:rPr>
          </w:pPr>
          <w:r w:rsidRPr="00274CE9">
            <w:rPr>
              <w:rFonts w:cs="Arial"/>
              <w:bCs/>
              <w:iCs/>
              <w:sz w:val="24"/>
              <w:szCs w:val="24"/>
            </w:rPr>
            <w:t>Copyright © Western Australian Agriculture Authority, 2015</w:t>
          </w:r>
        </w:p>
        <w:p w14:paraId="49644F9C" w14:textId="77777777" w:rsidR="00274CE9" w:rsidRDefault="00274CE9" w:rsidP="00274CE9">
          <w:pPr>
            <w:rPr>
              <w:color w:val="595959" w:themeColor="text1" w:themeTint="A6"/>
            </w:rPr>
          </w:pPr>
        </w:p>
        <w:p w14:paraId="284EF11C" w14:textId="77777777" w:rsidR="00274CE9" w:rsidRPr="00274CE9" w:rsidRDefault="00274CE9" w:rsidP="00274CE9">
          <w:pPr>
            <w:pStyle w:val="Heading2"/>
            <w:numPr>
              <w:ilvl w:val="0"/>
              <w:numId w:val="0"/>
            </w:numPr>
            <w:ind w:left="576" w:hanging="576"/>
            <w:rPr>
              <w:rFonts w:eastAsiaTheme="minorHAnsi" w:cs="Arial"/>
              <w:bCs w:val="0"/>
              <w:iCs/>
              <w:sz w:val="24"/>
              <w:szCs w:val="24"/>
            </w:rPr>
          </w:pPr>
          <w:bookmarkStart w:id="0" w:name="_Toc433204402"/>
          <w:r w:rsidRPr="00274CE9">
            <w:rPr>
              <w:rFonts w:eastAsiaTheme="minorHAnsi" w:cs="Arial"/>
              <w:bCs w:val="0"/>
              <w:iCs/>
              <w:sz w:val="24"/>
              <w:szCs w:val="24"/>
            </w:rPr>
            <w:t>Contact details</w:t>
          </w:r>
          <w:bookmarkEnd w:id="0"/>
        </w:p>
        <w:p w14:paraId="7784860D" w14:textId="3056577B" w:rsidR="00274CE9" w:rsidRPr="00274CE9" w:rsidRDefault="00274CE9" w:rsidP="00274CE9">
          <w:pPr>
            <w:rPr>
              <w:rFonts w:cs="Arial"/>
              <w:bCs/>
              <w:iCs/>
              <w:sz w:val="24"/>
              <w:szCs w:val="24"/>
            </w:rPr>
          </w:pPr>
          <w:r>
            <w:rPr>
              <w:rFonts w:cs="Arial"/>
              <w:bCs/>
              <w:iCs/>
              <w:sz w:val="24"/>
              <w:szCs w:val="24"/>
            </w:rPr>
            <w:t>Rebecca Heath (</w:t>
          </w:r>
          <w:r w:rsidRPr="00274CE9">
            <w:rPr>
              <w:rFonts w:cs="Arial"/>
              <w:bCs/>
              <w:iCs/>
              <w:sz w:val="24"/>
              <w:szCs w:val="24"/>
            </w:rPr>
            <w:t>Executive Officer</w:t>
          </w:r>
          <w:proofErr w:type="gramStart"/>
          <w:r w:rsidRPr="00274CE9">
            <w:rPr>
              <w:rFonts w:cs="Arial"/>
              <w:bCs/>
              <w:iCs/>
              <w:sz w:val="24"/>
              <w:szCs w:val="24"/>
            </w:rPr>
            <w:t>)</w:t>
          </w:r>
          <w:proofErr w:type="gramEnd"/>
          <w:r w:rsidRPr="00274CE9">
            <w:rPr>
              <w:rFonts w:cs="Arial"/>
              <w:bCs/>
              <w:iCs/>
              <w:sz w:val="24"/>
              <w:szCs w:val="24"/>
            </w:rPr>
            <w:br/>
            <w:t>Department of Agriculture and Food WA</w:t>
          </w:r>
          <w:r w:rsidRPr="00274CE9">
            <w:rPr>
              <w:rFonts w:cs="Arial"/>
              <w:bCs/>
              <w:iCs/>
              <w:sz w:val="24"/>
              <w:szCs w:val="24"/>
            </w:rPr>
            <w:br/>
            <w:t>rebecca.heath@agric.wa.gov.au</w:t>
          </w:r>
        </w:p>
        <w:p w14:paraId="4048E504" w14:textId="77777777" w:rsidR="00803872" w:rsidRDefault="00803872" w:rsidP="00F85F27">
          <w:pPr>
            <w:rPr>
              <w:rFonts w:eastAsiaTheme="majorEastAsia" w:cs="Arial"/>
            </w:rPr>
          </w:pPr>
        </w:p>
        <w:p w14:paraId="47869B27" w14:textId="77777777" w:rsidR="0098305B" w:rsidRDefault="0098305B" w:rsidP="00F85F27">
          <w:pPr>
            <w:spacing w:line="240" w:lineRule="auto"/>
            <w:rPr>
              <w:rFonts w:ascii="Calibri" w:hAnsi="Calibri" w:cs="Arial"/>
              <w:b/>
              <w:bCs/>
              <w:iCs/>
              <w:sz w:val="24"/>
            </w:rPr>
          </w:pPr>
          <w:r>
            <w:rPr>
              <w:rFonts w:ascii="Calibri" w:hAnsi="Calibri" w:cs="Arial"/>
              <w:b/>
              <w:bCs/>
              <w:iCs/>
              <w:sz w:val="24"/>
            </w:rPr>
            <w:br w:type="page"/>
          </w:r>
        </w:p>
        <w:p w14:paraId="11FAF2B3" w14:textId="77777777" w:rsidR="00803872" w:rsidRDefault="000E7053" w:rsidP="00F85F27">
          <w:pPr>
            <w:rPr>
              <w:rFonts w:ascii="Calibri" w:hAnsi="Calibri" w:cs="Arial"/>
              <w:b/>
              <w:bCs/>
              <w:iCs/>
              <w:sz w:val="24"/>
            </w:rPr>
          </w:pPr>
        </w:p>
      </w:sdtContent>
    </w:sdt>
    <w:sdt>
      <w:sdtPr>
        <w:rPr>
          <w:rFonts w:eastAsiaTheme="minorHAnsi" w:cstheme="minorBidi"/>
          <w:b w:val="0"/>
          <w:bCs w:val="0"/>
          <w:sz w:val="22"/>
          <w:szCs w:val="22"/>
          <w:lang w:val="en-AU"/>
        </w:rPr>
        <w:id w:val="22865149"/>
        <w:docPartObj>
          <w:docPartGallery w:val="Table of Contents"/>
          <w:docPartUnique/>
        </w:docPartObj>
      </w:sdtPr>
      <w:sdtContent>
        <w:p w14:paraId="633D7419" w14:textId="77777777" w:rsidR="00A85734" w:rsidRDefault="00A85734" w:rsidP="00F85F27">
          <w:pPr>
            <w:pStyle w:val="TOCHeading"/>
          </w:pPr>
          <w:r>
            <w:t>Contents</w:t>
          </w:r>
        </w:p>
        <w:p w14:paraId="1B687894" w14:textId="07767E67" w:rsidR="00B23DEA" w:rsidRDefault="00882CD5" w:rsidP="00B23DEA">
          <w:pPr>
            <w:pStyle w:val="TOC2"/>
            <w:tabs>
              <w:tab w:val="right" w:leader="dot" w:pos="9350"/>
            </w:tabs>
            <w:ind w:left="0"/>
            <w:rPr>
              <w:rFonts w:asciiTheme="minorHAnsi" w:eastAsiaTheme="minorEastAsia" w:hAnsiTheme="minorHAnsi"/>
              <w:noProof/>
              <w:lang w:eastAsia="en-AU"/>
            </w:rPr>
          </w:pPr>
          <w:r w:rsidRPr="00CD142D">
            <w:fldChar w:fldCharType="begin"/>
          </w:r>
          <w:r w:rsidR="00A85734" w:rsidRPr="00CD142D">
            <w:instrText xml:space="preserve"> TOC \o "1-3" \h \z \u </w:instrText>
          </w:r>
          <w:r w:rsidRPr="00CD142D">
            <w:fldChar w:fldCharType="separate"/>
          </w:r>
          <w:hyperlink w:anchor="_Toc433204403" w:history="1">
            <w:r w:rsidR="00B23DEA" w:rsidRPr="002E2E78">
              <w:rPr>
                <w:rStyle w:val="Hyperlink"/>
                <w:noProof/>
              </w:rPr>
              <w:t>Executive Summary</w:t>
            </w:r>
            <w:r w:rsidR="00B23DEA">
              <w:rPr>
                <w:noProof/>
                <w:webHidden/>
              </w:rPr>
              <w:tab/>
            </w:r>
            <w:r w:rsidR="00B23DEA">
              <w:rPr>
                <w:noProof/>
                <w:webHidden/>
              </w:rPr>
              <w:fldChar w:fldCharType="begin"/>
            </w:r>
            <w:r w:rsidR="00B23DEA">
              <w:rPr>
                <w:noProof/>
                <w:webHidden/>
              </w:rPr>
              <w:instrText xml:space="preserve"> PAGEREF _Toc433204403 \h </w:instrText>
            </w:r>
            <w:r w:rsidR="00B23DEA">
              <w:rPr>
                <w:noProof/>
                <w:webHidden/>
              </w:rPr>
            </w:r>
            <w:r w:rsidR="00B23DEA">
              <w:rPr>
                <w:noProof/>
                <w:webHidden/>
              </w:rPr>
              <w:fldChar w:fldCharType="separate"/>
            </w:r>
            <w:r w:rsidR="006F0E8E">
              <w:rPr>
                <w:noProof/>
                <w:webHidden/>
              </w:rPr>
              <w:t>4</w:t>
            </w:r>
            <w:r w:rsidR="00B23DEA">
              <w:rPr>
                <w:noProof/>
                <w:webHidden/>
              </w:rPr>
              <w:fldChar w:fldCharType="end"/>
            </w:r>
          </w:hyperlink>
        </w:p>
        <w:p w14:paraId="11E67DBD" w14:textId="77777777" w:rsidR="00B23DEA" w:rsidRDefault="000E7053">
          <w:pPr>
            <w:pStyle w:val="TOC1"/>
            <w:tabs>
              <w:tab w:val="left" w:pos="440"/>
              <w:tab w:val="right" w:leader="dot" w:pos="9350"/>
            </w:tabs>
            <w:rPr>
              <w:rFonts w:asciiTheme="minorHAnsi" w:eastAsiaTheme="minorEastAsia" w:hAnsiTheme="minorHAnsi"/>
              <w:noProof/>
              <w:lang w:eastAsia="en-AU"/>
            </w:rPr>
          </w:pPr>
          <w:hyperlink w:anchor="_Toc433204404" w:history="1">
            <w:r w:rsidR="00B23DEA" w:rsidRPr="002E2E78">
              <w:rPr>
                <w:rStyle w:val="Hyperlink"/>
                <w:noProof/>
              </w:rPr>
              <w:t>1</w:t>
            </w:r>
            <w:r w:rsidR="00B23DEA">
              <w:rPr>
                <w:rFonts w:asciiTheme="minorHAnsi" w:eastAsiaTheme="minorEastAsia" w:hAnsiTheme="minorHAnsi"/>
                <w:noProof/>
                <w:lang w:eastAsia="en-AU"/>
              </w:rPr>
              <w:tab/>
            </w:r>
            <w:r w:rsidR="00B23DEA" w:rsidRPr="002E2E78">
              <w:rPr>
                <w:rStyle w:val="Hyperlink"/>
                <w:noProof/>
              </w:rPr>
              <w:t>Introduction</w:t>
            </w:r>
            <w:r w:rsidR="00B23DEA">
              <w:rPr>
                <w:noProof/>
                <w:webHidden/>
              </w:rPr>
              <w:tab/>
            </w:r>
            <w:r w:rsidR="00B23DEA">
              <w:rPr>
                <w:noProof/>
                <w:webHidden/>
              </w:rPr>
              <w:fldChar w:fldCharType="begin"/>
            </w:r>
            <w:r w:rsidR="00B23DEA">
              <w:rPr>
                <w:noProof/>
                <w:webHidden/>
              </w:rPr>
              <w:instrText xml:space="preserve"> PAGEREF _Toc433204404 \h </w:instrText>
            </w:r>
            <w:r w:rsidR="00B23DEA">
              <w:rPr>
                <w:noProof/>
                <w:webHidden/>
              </w:rPr>
            </w:r>
            <w:r w:rsidR="00B23DEA">
              <w:rPr>
                <w:noProof/>
                <w:webHidden/>
              </w:rPr>
              <w:fldChar w:fldCharType="separate"/>
            </w:r>
            <w:r w:rsidR="006F0E8E">
              <w:rPr>
                <w:noProof/>
                <w:webHidden/>
              </w:rPr>
              <w:t>6</w:t>
            </w:r>
            <w:r w:rsidR="00B23DEA">
              <w:rPr>
                <w:noProof/>
                <w:webHidden/>
              </w:rPr>
              <w:fldChar w:fldCharType="end"/>
            </w:r>
          </w:hyperlink>
        </w:p>
        <w:p w14:paraId="5272896F" w14:textId="77777777" w:rsidR="00B23DEA" w:rsidRDefault="000E7053">
          <w:pPr>
            <w:pStyle w:val="TOC1"/>
            <w:tabs>
              <w:tab w:val="left" w:pos="440"/>
              <w:tab w:val="right" w:leader="dot" w:pos="9350"/>
            </w:tabs>
            <w:rPr>
              <w:rFonts w:asciiTheme="minorHAnsi" w:eastAsiaTheme="minorEastAsia" w:hAnsiTheme="minorHAnsi"/>
              <w:noProof/>
              <w:lang w:eastAsia="en-AU"/>
            </w:rPr>
          </w:pPr>
          <w:hyperlink w:anchor="_Toc433204405" w:history="1">
            <w:r w:rsidR="00B23DEA" w:rsidRPr="002E2E78">
              <w:rPr>
                <w:rStyle w:val="Hyperlink"/>
                <w:noProof/>
              </w:rPr>
              <w:t>2</w:t>
            </w:r>
            <w:r w:rsidR="00B23DEA">
              <w:rPr>
                <w:rFonts w:asciiTheme="minorHAnsi" w:eastAsiaTheme="minorEastAsia" w:hAnsiTheme="minorHAnsi"/>
                <w:noProof/>
                <w:lang w:eastAsia="en-AU"/>
              </w:rPr>
              <w:tab/>
            </w:r>
            <w:r w:rsidR="00B23DEA" w:rsidRPr="002E2E78">
              <w:rPr>
                <w:rStyle w:val="Hyperlink"/>
                <w:noProof/>
              </w:rPr>
              <w:t>The workshop</w:t>
            </w:r>
            <w:r w:rsidR="00B23DEA">
              <w:rPr>
                <w:noProof/>
                <w:webHidden/>
              </w:rPr>
              <w:tab/>
            </w:r>
            <w:r w:rsidR="00B23DEA">
              <w:rPr>
                <w:noProof/>
                <w:webHidden/>
              </w:rPr>
              <w:fldChar w:fldCharType="begin"/>
            </w:r>
            <w:r w:rsidR="00B23DEA">
              <w:rPr>
                <w:noProof/>
                <w:webHidden/>
              </w:rPr>
              <w:instrText xml:space="preserve"> PAGEREF _Toc433204405 \h </w:instrText>
            </w:r>
            <w:r w:rsidR="00B23DEA">
              <w:rPr>
                <w:noProof/>
                <w:webHidden/>
              </w:rPr>
            </w:r>
            <w:r w:rsidR="00B23DEA">
              <w:rPr>
                <w:noProof/>
                <w:webHidden/>
              </w:rPr>
              <w:fldChar w:fldCharType="separate"/>
            </w:r>
            <w:r w:rsidR="006F0E8E">
              <w:rPr>
                <w:noProof/>
                <w:webHidden/>
              </w:rPr>
              <w:t>6</w:t>
            </w:r>
            <w:r w:rsidR="00B23DEA">
              <w:rPr>
                <w:noProof/>
                <w:webHidden/>
              </w:rPr>
              <w:fldChar w:fldCharType="end"/>
            </w:r>
          </w:hyperlink>
        </w:p>
        <w:p w14:paraId="0F0F55FF"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06" w:history="1">
            <w:r w:rsidR="00B23DEA" w:rsidRPr="002E2E78">
              <w:rPr>
                <w:rStyle w:val="Hyperlink"/>
                <w:noProof/>
              </w:rPr>
              <w:t>2.1</w:t>
            </w:r>
            <w:r w:rsidR="00B23DEA">
              <w:rPr>
                <w:rFonts w:asciiTheme="minorHAnsi" w:eastAsiaTheme="minorEastAsia" w:hAnsiTheme="minorHAnsi"/>
                <w:noProof/>
                <w:lang w:eastAsia="en-AU"/>
              </w:rPr>
              <w:tab/>
            </w:r>
            <w:r w:rsidR="00B23DEA" w:rsidRPr="002E2E78">
              <w:rPr>
                <w:rStyle w:val="Hyperlink"/>
                <w:noProof/>
              </w:rPr>
              <w:t>Purpose and outcomes</w:t>
            </w:r>
            <w:r w:rsidR="00B23DEA">
              <w:rPr>
                <w:noProof/>
                <w:webHidden/>
              </w:rPr>
              <w:tab/>
            </w:r>
            <w:r w:rsidR="00B23DEA">
              <w:rPr>
                <w:noProof/>
                <w:webHidden/>
              </w:rPr>
              <w:fldChar w:fldCharType="begin"/>
            </w:r>
            <w:r w:rsidR="00B23DEA">
              <w:rPr>
                <w:noProof/>
                <w:webHidden/>
              </w:rPr>
              <w:instrText xml:space="preserve"> PAGEREF _Toc433204406 \h </w:instrText>
            </w:r>
            <w:r w:rsidR="00B23DEA">
              <w:rPr>
                <w:noProof/>
                <w:webHidden/>
              </w:rPr>
            </w:r>
            <w:r w:rsidR="00B23DEA">
              <w:rPr>
                <w:noProof/>
                <w:webHidden/>
              </w:rPr>
              <w:fldChar w:fldCharType="separate"/>
            </w:r>
            <w:r w:rsidR="006F0E8E">
              <w:rPr>
                <w:noProof/>
                <w:webHidden/>
              </w:rPr>
              <w:t>6</w:t>
            </w:r>
            <w:r w:rsidR="00B23DEA">
              <w:rPr>
                <w:noProof/>
                <w:webHidden/>
              </w:rPr>
              <w:fldChar w:fldCharType="end"/>
            </w:r>
          </w:hyperlink>
        </w:p>
        <w:p w14:paraId="5A62D5FA"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07" w:history="1">
            <w:r w:rsidR="00B23DEA" w:rsidRPr="002E2E78">
              <w:rPr>
                <w:rStyle w:val="Hyperlink"/>
                <w:noProof/>
              </w:rPr>
              <w:t>2.2</w:t>
            </w:r>
            <w:r w:rsidR="00B23DEA">
              <w:rPr>
                <w:rFonts w:asciiTheme="minorHAnsi" w:eastAsiaTheme="minorEastAsia" w:hAnsiTheme="minorHAnsi"/>
                <w:noProof/>
                <w:lang w:eastAsia="en-AU"/>
              </w:rPr>
              <w:tab/>
            </w:r>
            <w:r w:rsidR="00B23DEA" w:rsidRPr="002E2E78">
              <w:rPr>
                <w:rStyle w:val="Hyperlink"/>
                <w:noProof/>
              </w:rPr>
              <w:t>Stakeholders</w:t>
            </w:r>
            <w:r w:rsidR="00B23DEA">
              <w:rPr>
                <w:noProof/>
                <w:webHidden/>
              </w:rPr>
              <w:tab/>
            </w:r>
            <w:r w:rsidR="00B23DEA">
              <w:rPr>
                <w:noProof/>
                <w:webHidden/>
              </w:rPr>
              <w:fldChar w:fldCharType="begin"/>
            </w:r>
            <w:r w:rsidR="00B23DEA">
              <w:rPr>
                <w:noProof/>
                <w:webHidden/>
              </w:rPr>
              <w:instrText xml:space="preserve"> PAGEREF _Toc433204407 \h </w:instrText>
            </w:r>
            <w:r w:rsidR="00B23DEA">
              <w:rPr>
                <w:noProof/>
                <w:webHidden/>
              </w:rPr>
            </w:r>
            <w:r w:rsidR="00B23DEA">
              <w:rPr>
                <w:noProof/>
                <w:webHidden/>
              </w:rPr>
              <w:fldChar w:fldCharType="separate"/>
            </w:r>
            <w:r w:rsidR="006F0E8E">
              <w:rPr>
                <w:noProof/>
                <w:webHidden/>
              </w:rPr>
              <w:t>6</w:t>
            </w:r>
            <w:r w:rsidR="00B23DEA">
              <w:rPr>
                <w:noProof/>
                <w:webHidden/>
              </w:rPr>
              <w:fldChar w:fldCharType="end"/>
            </w:r>
          </w:hyperlink>
        </w:p>
        <w:p w14:paraId="1CB7B675"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08" w:history="1">
            <w:r w:rsidR="00B23DEA" w:rsidRPr="002E2E78">
              <w:rPr>
                <w:rStyle w:val="Hyperlink"/>
                <w:noProof/>
              </w:rPr>
              <w:t>2.3</w:t>
            </w:r>
            <w:r w:rsidR="00B23DEA">
              <w:rPr>
                <w:rFonts w:asciiTheme="minorHAnsi" w:eastAsiaTheme="minorEastAsia" w:hAnsiTheme="minorHAnsi"/>
                <w:noProof/>
                <w:lang w:eastAsia="en-AU"/>
              </w:rPr>
              <w:tab/>
            </w:r>
            <w:r w:rsidR="00B23DEA" w:rsidRPr="002E2E78">
              <w:rPr>
                <w:rStyle w:val="Hyperlink"/>
                <w:noProof/>
              </w:rPr>
              <w:t>Agenda</w:t>
            </w:r>
            <w:r w:rsidR="00B23DEA">
              <w:rPr>
                <w:noProof/>
                <w:webHidden/>
              </w:rPr>
              <w:tab/>
            </w:r>
            <w:r w:rsidR="00B23DEA">
              <w:rPr>
                <w:noProof/>
                <w:webHidden/>
              </w:rPr>
              <w:fldChar w:fldCharType="begin"/>
            </w:r>
            <w:r w:rsidR="00B23DEA">
              <w:rPr>
                <w:noProof/>
                <w:webHidden/>
              </w:rPr>
              <w:instrText xml:space="preserve"> PAGEREF _Toc433204408 \h </w:instrText>
            </w:r>
            <w:r w:rsidR="00B23DEA">
              <w:rPr>
                <w:noProof/>
                <w:webHidden/>
              </w:rPr>
            </w:r>
            <w:r w:rsidR="00B23DEA">
              <w:rPr>
                <w:noProof/>
                <w:webHidden/>
              </w:rPr>
              <w:fldChar w:fldCharType="separate"/>
            </w:r>
            <w:r w:rsidR="006F0E8E">
              <w:rPr>
                <w:noProof/>
                <w:webHidden/>
              </w:rPr>
              <w:t>7</w:t>
            </w:r>
            <w:r w:rsidR="00B23DEA">
              <w:rPr>
                <w:noProof/>
                <w:webHidden/>
              </w:rPr>
              <w:fldChar w:fldCharType="end"/>
            </w:r>
          </w:hyperlink>
        </w:p>
        <w:p w14:paraId="4EDF69CA"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09" w:history="1">
            <w:r w:rsidR="00B23DEA" w:rsidRPr="002E2E78">
              <w:rPr>
                <w:rStyle w:val="Hyperlink"/>
                <w:noProof/>
              </w:rPr>
              <w:t>2.4</w:t>
            </w:r>
            <w:r w:rsidR="00B23DEA">
              <w:rPr>
                <w:rFonts w:asciiTheme="minorHAnsi" w:eastAsiaTheme="minorEastAsia" w:hAnsiTheme="minorHAnsi"/>
                <w:noProof/>
                <w:lang w:eastAsia="en-AU"/>
              </w:rPr>
              <w:tab/>
            </w:r>
            <w:r w:rsidR="00B23DEA" w:rsidRPr="002E2E78">
              <w:rPr>
                <w:rStyle w:val="Hyperlink"/>
                <w:noProof/>
              </w:rPr>
              <w:t>Evaluation</w:t>
            </w:r>
            <w:r w:rsidR="00B23DEA">
              <w:rPr>
                <w:noProof/>
                <w:webHidden/>
              </w:rPr>
              <w:tab/>
            </w:r>
            <w:r w:rsidR="00B23DEA">
              <w:rPr>
                <w:noProof/>
                <w:webHidden/>
              </w:rPr>
              <w:fldChar w:fldCharType="begin"/>
            </w:r>
            <w:r w:rsidR="00B23DEA">
              <w:rPr>
                <w:noProof/>
                <w:webHidden/>
              </w:rPr>
              <w:instrText xml:space="preserve"> PAGEREF _Toc433204409 \h </w:instrText>
            </w:r>
            <w:r w:rsidR="00B23DEA">
              <w:rPr>
                <w:noProof/>
                <w:webHidden/>
              </w:rPr>
            </w:r>
            <w:r w:rsidR="00B23DEA">
              <w:rPr>
                <w:noProof/>
                <w:webHidden/>
              </w:rPr>
              <w:fldChar w:fldCharType="separate"/>
            </w:r>
            <w:r w:rsidR="006F0E8E">
              <w:rPr>
                <w:noProof/>
                <w:webHidden/>
              </w:rPr>
              <w:t>7</w:t>
            </w:r>
            <w:r w:rsidR="00B23DEA">
              <w:rPr>
                <w:noProof/>
                <w:webHidden/>
              </w:rPr>
              <w:fldChar w:fldCharType="end"/>
            </w:r>
          </w:hyperlink>
        </w:p>
        <w:p w14:paraId="6BEA4891" w14:textId="77777777" w:rsidR="00B23DEA" w:rsidRDefault="000E7053">
          <w:pPr>
            <w:pStyle w:val="TOC1"/>
            <w:tabs>
              <w:tab w:val="left" w:pos="440"/>
              <w:tab w:val="right" w:leader="dot" w:pos="9350"/>
            </w:tabs>
            <w:rPr>
              <w:rFonts w:asciiTheme="minorHAnsi" w:eastAsiaTheme="minorEastAsia" w:hAnsiTheme="minorHAnsi"/>
              <w:noProof/>
              <w:lang w:eastAsia="en-AU"/>
            </w:rPr>
          </w:pPr>
          <w:hyperlink w:anchor="_Toc433204410" w:history="1">
            <w:r w:rsidR="00B23DEA" w:rsidRPr="002E2E78">
              <w:rPr>
                <w:rStyle w:val="Hyperlink"/>
                <w:noProof/>
              </w:rPr>
              <w:t>3</w:t>
            </w:r>
            <w:r w:rsidR="00B23DEA">
              <w:rPr>
                <w:rFonts w:asciiTheme="minorHAnsi" w:eastAsiaTheme="minorEastAsia" w:hAnsiTheme="minorHAnsi"/>
                <w:noProof/>
                <w:lang w:eastAsia="en-AU"/>
              </w:rPr>
              <w:tab/>
            </w:r>
            <w:r w:rsidR="00B23DEA" w:rsidRPr="002E2E78">
              <w:rPr>
                <w:rStyle w:val="Hyperlink"/>
                <w:noProof/>
              </w:rPr>
              <w:t>Findings</w:t>
            </w:r>
            <w:r w:rsidR="00B23DEA">
              <w:rPr>
                <w:noProof/>
                <w:webHidden/>
              </w:rPr>
              <w:tab/>
            </w:r>
            <w:r w:rsidR="00B23DEA">
              <w:rPr>
                <w:noProof/>
                <w:webHidden/>
              </w:rPr>
              <w:fldChar w:fldCharType="begin"/>
            </w:r>
            <w:r w:rsidR="00B23DEA">
              <w:rPr>
                <w:noProof/>
                <w:webHidden/>
              </w:rPr>
              <w:instrText xml:space="preserve"> PAGEREF _Toc433204410 \h </w:instrText>
            </w:r>
            <w:r w:rsidR="00B23DEA">
              <w:rPr>
                <w:noProof/>
                <w:webHidden/>
              </w:rPr>
            </w:r>
            <w:r w:rsidR="00B23DEA">
              <w:rPr>
                <w:noProof/>
                <w:webHidden/>
              </w:rPr>
              <w:fldChar w:fldCharType="separate"/>
            </w:r>
            <w:r w:rsidR="006F0E8E">
              <w:rPr>
                <w:noProof/>
                <w:webHidden/>
              </w:rPr>
              <w:t>8</w:t>
            </w:r>
            <w:r w:rsidR="00B23DEA">
              <w:rPr>
                <w:noProof/>
                <w:webHidden/>
              </w:rPr>
              <w:fldChar w:fldCharType="end"/>
            </w:r>
          </w:hyperlink>
        </w:p>
        <w:p w14:paraId="15EEC8E2"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11" w:history="1">
            <w:r w:rsidR="00B23DEA" w:rsidRPr="002E2E78">
              <w:rPr>
                <w:rStyle w:val="Hyperlink"/>
                <w:noProof/>
              </w:rPr>
              <w:t>3.1</w:t>
            </w:r>
            <w:r w:rsidR="00B23DEA">
              <w:rPr>
                <w:rFonts w:asciiTheme="minorHAnsi" w:eastAsiaTheme="minorEastAsia" w:hAnsiTheme="minorHAnsi"/>
                <w:noProof/>
                <w:lang w:eastAsia="en-AU"/>
              </w:rPr>
              <w:tab/>
            </w:r>
            <w:r w:rsidR="00B23DEA" w:rsidRPr="002E2E78">
              <w:rPr>
                <w:rStyle w:val="Hyperlink"/>
                <w:noProof/>
              </w:rPr>
              <w:t>Biosecurity decision-making</w:t>
            </w:r>
            <w:r w:rsidR="00B23DEA">
              <w:rPr>
                <w:noProof/>
                <w:webHidden/>
              </w:rPr>
              <w:tab/>
            </w:r>
            <w:r w:rsidR="00B23DEA">
              <w:rPr>
                <w:noProof/>
                <w:webHidden/>
              </w:rPr>
              <w:fldChar w:fldCharType="begin"/>
            </w:r>
            <w:r w:rsidR="00B23DEA">
              <w:rPr>
                <w:noProof/>
                <w:webHidden/>
              </w:rPr>
              <w:instrText xml:space="preserve"> PAGEREF _Toc433204411 \h </w:instrText>
            </w:r>
            <w:r w:rsidR="00B23DEA">
              <w:rPr>
                <w:noProof/>
                <w:webHidden/>
              </w:rPr>
            </w:r>
            <w:r w:rsidR="00B23DEA">
              <w:rPr>
                <w:noProof/>
                <w:webHidden/>
              </w:rPr>
              <w:fldChar w:fldCharType="separate"/>
            </w:r>
            <w:r w:rsidR="006F0E8E">
              <w:rPr>
                <w:noProof/>
                <w:webHidden/>
              </w:rPr>
              <w:t>8</w:t>
            </w:r>
            <w:r w:rsidR="00B23DEA">
              <w:rPr>
                <w:noProof/>
                <w:webHidden/>
              </w:rPr>
              <w:fldChar w:fldCharType="end"/>
            </w:r>
          </w:hyperlink>
        </w:p>
        <w:p w14:paraId="049D304A"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12" w:history="1">
            <w:r w:rsidR="00B23DEA" w:rsidRPr="002E2E78">
              <w:rPr>
                <w:rStyle w:val="Hyperlink"/>
                <w:noProof/>
              </w:rPr>
              <w:t>3.2</w:t>
            </w:r>
            <w:r w:rsidR="00B23DEA">
              <w:rPr>
                <w:rFonts w:asciiTheme="minorHAnsi" w:eastAsiaTheme="minorEastAsia" w:hAnsiTheme="minorHAnsi"/>
                <w:noProof/>
                <w:lang w:eastAsia="en-AU"/>
              </w:rPr>
              <w:tab/>
            </w:r>
            <w:r w:rsidR="00B23DEA" w:rsidRPr="002E2E78">
              <w:rPr>
                <w:rStyle w:val="Hyperlink"/>
                <w:noProof/>
              </w:rPr>
              <w:t>Drivers and constraints</w:t>
            </w:r>
            <w:r w:rsidR="00B23DEA">
              <w:rPr>
                <w:noProof/>
                <w:webHidden/>
              </w:rPr>
              <w:tab/>
            </w:r>
            <w:r w:rsidR="00B23DEA">
              <w:rPr>
                <w:noProof/>
                <w:webHidden/>
              </w:rPr>
              <w:fldChar w:fldCharType="begin"/>
            </w:r>
            <w:r w:rsidR="00B23DEA">
              <w:rPr>
                <w:noProof/>
                <w:webHidden/>
              </w:rPr>
              <w:instrText xml:space="preserve"> PAGEREF _Toc433204412 \h </w:instrText>
            </w:r>
            <w:r w:rsidR="00B23DEA">
              <w:rPr>
                <w:noProof/>
                <w:webHidden/>
              </w:rPr>
            </w:r>
            <w:r w:rsidR="00B23DEA">
              <w:rPr>
                <w:noProof/>
                <w:webHidden/>
              </w:rPr>
              <w:fldChar w:fldCharType="separate"/>
            </w:r>
            <w:r w:rsidR="006F0E8E">
              <w:rPr>
                <w:noProof/>
                <w:webHidden/>
              </w:rPr>
              <w:t>9</w:t>
            </w:r>
            <w:r w:rsidR="00B23DEA">
              <w:rPr>
                <w:noProof/>
                <w:webHidden/>
              </w:rPr>
              <w:fldChar w:fldCharType="end"/>
            </w:r>
          </w:hyperlink>
        </w:p>
        <w:p w14:paraId="1D52447A" w14:textId="77777777" w:rsidR="00B23DEA" w:rsidRDefault="000E7053">
          <w:pPr>
            <w:pStyle w:val="TOC2"/>
            <w:tabs>
              <w:tab w:val="left" w:pos="880"/>
              <w:tab w:val="right" w:leader="dot" w:pos="9350"/>
            </w:tabs>
            <w:rPr>
              <w:rFonts w:asciiTheme="minorHAnsi" w:eastAsiaTheme="minorEastAsia" w:hAnsiTheme="minorHAnsi"/>
              <w:noProof/>
              <w:lang w:eastAsia="en-AU"/>
            </w:rPr>
          </w:pPr>
          <w:hyperlink w:anchor="_Toc433204413" w:history="1">
            <w:r w:rsidR="00B23DEA" w:rsidRPr="002E2E78">
              <w:rPr>
                <w:rStyle w:val="Hyperlink"/>
                <w:noProof/>
              </w:rPr>
              <w:t>3.3</w:t>
            </w:r>
            <w:r w:rsidR="00B23DEA">
              <w:rPr>
                <w:rFonts w:asciiTheme="minorHAnsi" w:eastAsiaTheme="minorEastAsia" w:hAnsiTheme="minorHAnsi"/>
                <w:noProof/>
                <w:lang w:eastAsia="en-AU"/>
              </w:rPr>
              <w:tab/>
            </w:r>
            <w:r w:rsidR="00B23DEA" w:rsidRPr="002E2E78">
              <w:rPr>
                <w:rStyle w:val="Hyperlink"/>
                <w:noProof/>
              </w:rPr>
              <w:t>Industry / community / government position</w:t>
            </w:r>
            <w:r w:rsidR="00B23DEA">
              <w:rPr>
                <w:noProof/>
                <w:webHidden/>
              </w:rPr>
              <w:tab/>
            </w:r>
            <w:r w:rsidR="00B23DEA">
              <w:rPr>
                <w:noProof/>
                <w:webHidden/>
              </w:rPr>
              <w:fldChar w:fldCharType="begin"/>
            </w:r>
            <w:r w:rsidR="00B23DEA">
              <w:rPr>
                <w:noProof/>
                <w:webHidden/>
              </w:rPr>
              <w:instrText xml:space="preserve"> PAGEREF _Toc433204413 \h </w:instrText>
            </w:r>
            <w:r w:rsidR="00B23DEA">
              <w:rPr>
                <w:noProof/>
                <w:webHidden/>
              </w:rPr>
            </w:r>
            <w:r w:rsidR="00B23DEA">
              <w:rPr>
                <w:noProof/>
                <w:webHidden/>
              </w:rPr>
              <w:fldChar w:fldCharType="separate"/>
            </w:r>
            <w:r w:rsidR="006F0E8E">
              <w:rPr>
                <w:noProof/>
                <w:webHidden/>
              </w:rPr>
              <w:t>10</w:t>
            </w:r>
            <w:r w:rsidR="00B23DEA">
              <w:rPr>
                <w:noProof/>
                <w:webHidden/>
              </w:rPr>
              <w:fldChar w:fldCharType="end"/>
            </w:r>
          </w:hyperlink>
        </w:p>
        <w:p w14:paraId="7819BBA2" w14:textId="77777777" w:rsidR="00B23DEA" w:rsidRDefault="000E7053">
          <w:pPr>
            <w:pStyle w:val="TOC1"/>
            <w:tabs>
              <w:tab w:val="left" w:pos="440"/>
              <w:tab w:val="right" w:leader="dot" w:pos="9350"/>
            </w:tabs>
            <w:rPr>
              <w:rFonts w:asciiTheme="minorHAnsi" w:eastAsiaTheme="minorEastAsia" w:hAnsiTheme="minorHAnsi"/>
              <w:noProof/>
              <w:lang w:eastAsia="en-AU"/>
            </w:rPr>
          </w:pPr>
          <w:hyperlink w:anchor="_Toc433204414" w:history="1">
            <w:r w:rsidR="00B23DEA" w:rsidRPr="002E2E78">
              <w:rPr>
                <w:rStyle w:val="Hyperlink"/>
                <w:noProof/>
              </w:rPr>
              <w:t>4</w:t>
            </w:r>
            <w:r w:rsidR="00B23DEA">
              <w:rPr>
                <w:rFonts w:asciiTheme="minorHAnsi" w:eastAsiaTheme="minorEastAsia" w:hAnsiTheme="minorHAnsi"/>
                <w:noProof/>
                <w:lang w:eastAsia="en-AU"/>
              </w:rPr>
              <w:tab/>
            </w:r>
            <w:r w:rsidR="00B23DEA" w:rsidRPr="002E2E78">
              <w:rPr>
                <w:rStyle w:val="Hyperlink"/>
                <w:noProof/>
              </w:rPr>
              <w:t>Council conclusions</w:t>
            </w:r>
            <w:r w:rsidR="00B23DEA">
              <w:rPr>
                <w:noProof/>
                <w:webHidden/>
              </w:rPr>
              <w:tab/>
            </w:r>
            <w:r w:rsidR="00B23DEA">
              <w:rPr>
                <w:noProof/>
                <w:webHidden/>
              </w:rPr>
              <w:fldChar w:fldCharType="begin"/>
            </w:r>
            <w:r w:rsidR="00B23DEA">
              <w:rPr>
                <w:noProof/>
                <w:webHidden/>
              </w:rPr>
              <w:instrText xml:space="preserve"> PAGEREF _Toc433204414 \h </w:instrText>
            </w:r>
            <w:r w:rsidR="00B23DEA">
              <w:rPr>
                <w:noProof/>
                <w:webHidden/>
              </w:rPr>
            </w:r>
            <w:r w:rsidR="00B23DEA">
              <w:rPr>
                <w:noProof/>
                <w:webHidden/>
              </w:rPr>
              <w:fldChar w:fldCharType="separate"/>
            </w:r>
            <w:r w:rsidR="006F0E8E">
              <w:rPr>
                <w:noProof/>
                <w:webHidden/>
              </w:rPr>
              <w:t>12</w:t>
            </w:r>
            <w:r w:rsidR="00B23DEA">
              <w:rPr>
                <w:noProof/>
                <w:webHidden/>
              </w:rPr>
              <w:fldChar w:fldCharType="end"/>
            </w:r>
          </w:hyperlink>
        </w:p>
        <w:p w14:paraId="0E40225A" w14:textId="77777777" w:rsidR="00B23DEA" w:rsidRDefault="000E7053">
          <w:pPr>
            <w:pStyle w:val="TOC1"/>
            <w:tabs>
              <w:tab w:val="left" w:pos="440"/>
              <w:tab w:val="right" w:leader="dot" w:pos="9350"/>
            </w:tabs>
            <w:rPr>
              <w:rFonts w:asciiTheme="minorHAnsi" w:eastAsiaTheme="minorEastAsia" w:hAnsiTheme="minorHAnsi"/>
              <w:noProof/>
              <w:lang w:eastAsia="en-AU"/>
            </w:rPr>
          </w:pPr>
          <w:hyperlink w:anchor="_Toc433204415" w:history="1">
            <w:r w:rsidR="00B23DEA" w:rsidRPr="002E2E78">
              <w:rPr>
                <w:rStyle w:val="Hyperlink"/>
                <w:noProof/>
              </w:rPr>
              <w:t>5</w:t>
            </w:r>
            <w:r w:rsidR="00B23DEA">
              <w:rPr>
                <w:rFonts w:asciiTheme="minorHAnsi" w:eastAsiaTheme="minorEastAsia" w:hAnsiTheme="minorHAnsi"/>
                <w:noProof/>
                <w:lang w:eastAsia="en-AU"/>
              </w:rPr>
              <w:tab/>
            </w:r>
            <w:r w:rsidR="00B23DEA" w:rsidRPr="002E2E78">
              <w:rPr>
                <w:rStyle w:val="Hyperlink"/>
                <w:noProof/>
              </w:rPr>
              <w:t>Next steps</w:t>
            </w:r>
            <w:r w:rsidR="00B23DEA">
              <w:rPr>
                <w:noProof/>
                <w:webHidden/>
              </w:rPr>
              <w:tab/>
            </w:r>
            <w:r w:rsidR="00B23DEA">
              <w:rPr>
                <w:noProof/>
                <w:webHidden/>
              </w:rPr>
              <w:fldChar w:fldCharType="begin"/>
            </w:r>
            <w:r w:rsidR="00B23DEA">
              <w:rPr>
                <w:noProof/>
                <w:webHidden/>
              </w:rPr>
              <w:instrText xml:space="preserve"> PAGEREF _Toc433204415 \h </w:instrText>
            </w:r>
            <w:r w:rsidR="00B23DEA">
              <w:rPr>
                <w:noProof/>
                <w:webHidden/>
              </w:rPr>
            </w:r>
            <w:r w:rsidR="00B23DEA">
              <w:rPr>
                <w:noProof/>
                <w:webHidden/>
              </w:rPr>
              <w:fldChar w:fldCharType="separate"/>
            </w:r>
            <w:r w:rsidR="006F0E8E">
              <w:rPr>
                <w:noProof/>
                <w:webHidden/>
              </w:rPr>
              <w:t>16</w:t>
            </w:r>
            <w:r w:rsidR="00B23DEA">
              <w:rPr>
                <w:noProof/>
                <w:webHidden/>
              </w:rPr>
              <w:fldChar w:fldCharType="end"/>
            </w:r>
          </w:hyperlink>
        </w:p>
        <w:p w14:paraId="4D728AC5" w14:textId="77777777" w:rsidR="00B23DEA" w:rsidRDefault="000E7053">
          <w:pPr>
            <w:pStyle w:val="TOC1"/>
            <w:tabs>
              <w:tab w:val="right" w:leader="dot" w:pos="9350"/>
            </w:tabs>
            <w:rPr>
              <w:rFonts w:asciiTheme="minorHAnsi" w:eastAsiaTheme="minorEastAsia" w:hAnsiTheme="minorHAnsi"/>
              <w:noProof/>
              <w:lang w:eastAsia="en-AU"/>
            </w:rPr>
          </w:pPr>
          <w:hyperlink w:anchor="_Toc433204416" w:history="1">
            <w:r w:rsidR="00B23DEA" w:rsidRPr="002E2E78">
              <w:rPr>
                <w:rStyle w:val="Hyperlink"/>
                <w:noProof/>
              </w:rPr>
              <w:t>Appendix 1.  List of workshop invitees / participants</w:t>
            </w:r>
            <w:r w:rsidR="00B23DEA">
              <w:rPr>
                <w:noProof/>
                <w:webHidden/>
              </w:rPr>
              <w:tab/>
            </w:r>
            <w:r w:rsidR="00B23DEA">
              <w:rPr>
                <w:noProof/>
                <w:webHidden/>
              </w:rPr>
              <w:fldChar w:fldCharType="begin"/>
            </w:r>
            <w:r w:rsidR="00B23DEA">
              <w:rPr>
                <w:noProof/>
                <w:webHidden/>
              </w:rPr>
              <w:instrText xml:space="preserve"> PAGEREF _Toc433204416 \h </w:instrText>
            </w:r>
            <w:r w:rsidR="00B23DEA">
              <w:rPr>
                <w:noProof/>
                <w:webHidden/>
              </w:rPr>
            </w:r>
            <w:r w:rsidR="00B23DEA">
              <w:rPr>
                <w:noProof/>
                <w:webHidden/>
              </w:rPr>
              <w:fldChar w:fldCharType="separate"/>
            </w:r>
            <w:r w:rsidR="006F0E8E">
              <w:rPr>
                <w:noProof/>
                <w:webHidden/>
              </w:rPr>
              <w:t>17</w:t>
            </w:r>
            <w:r w:rsidR="00B23DEA">
              <w:rPr>
                <w:noProof/>
                <w:webHidden/>
              </w:rPr>
              <w:fldChar w:fldCharType="end"/>
            </w:r>
          </w:hyperlink>
        </w:p>
        <w:p w14:paraId="3E428A9F" w14:textId="77777777" w:rsidR="00B23DEA" w:rsidRDefault="000E7053">
          <w:pPr>
            <w:pStyle w:val="TOC1"/>
            <w:tabs>
              <w:tab w:val="right" w:leader="dot" w:pos="9350"/>
            </w:tabs>
            <w:rPr>
              <w:rFonts w:asciiTheme="minorHAnsi" w:eastAsiaTheme="minorEastAsia" w:hAnsiTheme="minorHAnsi"/>
              <w:noProof/>
              <w:lang w:eastAsia="en-AU"/>
            </w:rPr>
          </w:pPr>
          <w:hyperlink w:anchor="_Toc433204417" w:history="1">
            <w:r w:rsidR="00B23DEA" w:rsidRPr="002E2E78">
              <w:rPr>
                <w:rStyle w:val="Hyperlink"/>
                <w:noProof/>
              </w:rPr>
              <w:t>Appendix 2.  Workshop agenda</w:t>
            </w:r>
            <w:r w:rsidR="00B23DEA">
              <w:rPr>
                <w:noProof/>
                <w:webHidden/>
              </w:rPr>
              <w:tab/>
            </w:r>
            <w:r w:rsidR="00B23DEA">
              <w:rPr>
                <w:noProof/>
                <w:webHidden/>
              </w:rPr>
              <w:fldChar w:fldCharType="begin"/>
            </w:r>
            <w:r w:rsidR="00B23DEA">
              <w:rPr>
                <w:noProof/>
                <w:webHidden/>
              </w:rPr>
              <w:instrText xml:space="preserve"> PAGEREF _Toc433204417 \h </w:instrText>
            </w:r>
            <w:r w:rsidR="00B23DEA">
              <w:rPr>
                <w:noProof/>
                <w:webHidden/>
              </w:rPr>
            </w:r>
            <w:r w:rsidR="00B23DEA">
              <w:rPr>
                <w:noProof/>
                <w:webHidden/>
              </w:rPr>
              <w:fldChar w:fldCharType="separate"/>
            </w:r>
            <w:r w:rsidR="006F0E8E">
              <w:rPr>
                <w:noProof/>
                <w:webHidden/>
              </w:rPr>
              <w:t>19</w:t>
            </w:r>
            <w:r w:rsidR="00B23DEA">
              <w:rPr>
                <w:noProof/>
                <w:webHidden/>
              </w:rPr>
              <w:fldChar w:fldCharType="end"/>
            </w:r>
          </w:hyperlink>
        </w:p>
        <w:p w14:paraId="06F846FF" w14:textId="77777777" w:rsidR="00B23DEA" w:rsidRDefault="000E7053">
          <w:pPr>
            <w:pStyle w:val="TOC1"/>
            <w:tabs>
              <w:tab w:val="right" w:leader="dot" w:pos="9350"/>
            </w:tabs>
            <w:rPr>
              <w:rFonts w:asciiTheme="minorHAnsi" w:eastAsiaTheme="minorEastAsia" w:hAnsiTheme="minorHAnsi"/>
              <w:noProof/>
              <w:lang w:eastAsia="en-AU"/>
            </w:rPr>
          </w:pPr>
          <w:hyperlink w:anchor="_Toc433204421" w:history="1">
            <w:r w:rsidR="00B23DEA" w:rsidRPr="002E2E78">
              <w:rPr>
                <w:rStyle w:val="Hyperlink"/>
                <w:noProof/>
              </w:rPr>
              <w:t>Appendix 3.  Workshop evaluation results</w:t>
            </w:r>
            <w:r w:rsidR="00B23DEA">
              <w:rPr>
                <w:noProof/>
                <w:webHidden/>
              </w:rPr>
              <w:tab/>
            </w:r>
            <w:r w:rsidR="00B23DEA">
              <w:rPr>
                <w:noProof/>
                <w:webHidden/>
              </w:rPr>
              <w:fldChar w:fldCharType="begin"/>
            </w:r>
            <w:r w:rsidR="00B23DEA">
              <w:rPr>
                <w:noProof/>
                <w:webHidden/>
              </w:rPr>
              <w:instrText xml:space="preserve"> PAGEREF _Toc433204421 \h </w:instrText>
            </w:r>
            <w:r w:rsidR="00B23DEA">
              <w:rPr>
                <w:noProof/>
                <w:webHidden/>
              </w:rPr>
            </w:r>
            <w:r w:rsidR="00B23DEA">
              <w:rPr>
                <w:noProof/>
                <w:webHidden/>
              </w:rPr>
              <w:fldChar w:fldCharType="separate"/>
            </w:r>
            <w:r w:rsidR="006F0E8E">
              <w:rPr>
                <w:noProof/>
                <w:webHidden/>
              </w:rPr>
              <w:t>25</w:t>
            </w:r>
            <w:r w:rsidR="00B23DEA">
              <w:rPr>
                <w:noProof/>
                <w:webHidden/>
              </w:rPr>
              <w:fldChar w:fldCharType="end"/>
            </w:r>
          </w:hyperlink>
        </w:p>
        <w:p w14:paraId="4D0CD1F2" w14:textId="77777777" w:rsidR="00A85734" w:rsidRDefault="00882CD5" w:rsidP="00F85F27">
          <w:r w:rsidRPr="00CD142D">
            <w:fldChar w:fldCharType="end"/>
          </w:r>
        </w:p>
      </w:sdtContent>
    </w:sdt>
    <w:p w14:paraId="2C9229EE" w14:textId="77777777" w:rsidR="0098305B" w:rsidRDefault="0098305B" w:rsidP="00F85F27">
      <w:pPr>
        <w:spacing w:line="240" w:lineRule="auto"/>
        <w:rPr>
          <w:b/>
          <w:sz w:val="28"/>
        </w:rPr>
      </w:pPr>
      <w:r>
        <w:rPr>
          <w:b/>
          <w:sz w:val="28"/>
        </w:rPr>
        <w:br w:type="page"/>
      </w:r>
    </w:p>
    <w:p w14:paraId="7E5F6301" w14:textId="77777777" w:rsidR="006D182D" w:rsidRDefault="006D182D" w:rsidP="00F85F27">
      <w:pPr>
        <w:pStyle w:val="Heading1"/>
        <w:numPr>
          <w:ilvl w:val="0"/>
          <w:numId w:val="0"/>
        </w:numPr>
      </w:pPr>
      <w:bookmarkStart w:id="1" w:name="_Toc433204403"/>
      <w:r w:rsidRPr="002C6016">
        <w:lastRenderedPageBreak/>
        <w:t>Executive Summary</w:t>
      </w:r>
      <w:bookmarkEnd w:id="1"/>
    </w:p>
    <w:p w14:paraId="6DE5039C" w14:textId="3F0BC767" w:rsidR="002C6016" w:rsidRDefault="002C6016" w:rsidP="002C6016">
      <w:pPr>
        <w:spacing w:before="120"/>
        <w:rPr>
          <w:rFonts w:cs="Arial"/>
          <w:sz w:val="24"/>
          <w:szCs w:val="24"/>
        </w:rPr>
      </w:pPr>
      <w:r>
        <w:rPr>
          <w:rFonts w:cs="Arial"/>
          <w:sz w:val="24"/>
          <w:szCs w:val="24"/>
        </w:rPr>
        <w:t>T</w:t>
      </w:r>
      <w:r w:rsidRPr="00274CE9">
        <w:rPr>
          <w:rFonts w:cs="Arial"/>
          <w:sz w:val="24"/>
          <w:szCs w:val="24"/>
        </w:rPr>
        <w:t>he Biosecurity Council of Western Australia (the Council) held a stakeholder workshop to explore perspectives on risk-based decision making and biosecurity investment</w:t>
      </w:r>
      <w:r>
        <w:rPr>
          <w:rFonts w:cs="Arial"/>
          <w:sz w:val="24"/>
          <w:szCs w:val="24"/>
        </w:rPr>
        <w:t xml:space="preserve"> ac</w:t>
      </w:r>
      <w:r w:rsidRPr="00274CE9">
        <w:rPr>
          <w:sz w:val="24"/>
          <w:szCs w:val="24"/>
        </w:rPr>
        <w:t xml:space="preserve">ross </w:t>
      </w:r>
      <w:r w:rsidRPr="00274CE9">
        <w:rPr>
          <w:rFonts w:cs="Arial"/>
          <w:sz w:val="24"/>
          <w:szCs w:val="24"/>
        </w:rPr>
        <w:t>industry, government and community</w:t>
      </w:r>
      <w:r w:rsidRPr="00274CE9">
        <w:rPr>
          <w:sz w:val="24"/>
          <w:szCs w:val="24"/>
        </w:rPr>
        <w:t>.</w:t>
      </w:r>
      <w:r>
        <w:rPr>
          <w:sz w:val="24"/>
          <w:szCs w:val="24"/>
        </w:rPr>
        <w:t xml:space="preserve"> T</w:t>
      </w:r>
      <w:r w:rsidRPr="00274CE9">
        <w:rPr>
          <w:sz w:val="24"/>
          <w:szCs w:val="24"/>
        </w:rPr>
        <w:t>his report</w:t>
      </w:r>
      <w:r>
        <w:rPr>
          <w:sz w:val="24"/>
          <w:szCs w:val="24"/>
        </w:rPr>
        <w:t xml:space="preserve"> presents a</w:t>
      </w:r>
      <w:r w:rsidRPr="00274CE9">
        <w:rPr>
          <w:sz w:val="24"/>
          <w:szCs w:val="24"/>
        </w:rPr>
        <w:t xml:space="preserve"> </w:t>
      </w:r>
      <w:r>
        <w:rPr>
          <w:sz w:val="24"/>
          <w:szCs w:val="24"/>
        </w:rPr>
        <w:t>summary</w:t>
      </w:r>
      <w:r w:rsidRPr="00274CE9">
        <w:rPr>
          <w:sz w:val="24"/>
          <w:szCs w:val="24"/>
        </w:rPr>
        <w:t xml:space="preserve"> and interpret</w:t>
      </w:r>
      <w:r>
        <w:rPr>
          <w:sz w:val="24"/>
          <w:szCs w:val="24"/>
        </w:rPr>
        <w:t>ation of</w:t>
      </w:r>
      <w:r w:rsidRPr="00274CE9">
        <w:rPr>
          <w:sz w:val="24"/>
          <w:szCs w:val="24"/>
        </w:rPr>
        <w:t xml:space="preserve"> the workshop discussion </w:t>
      </w:r>
      <w:r w:rsidR="00B23DEA">
        <w:rPr>
          <w:sz w:val="24"/>
          <w:szCs w:val="24"/>
        </w:rPr>
        <w:t>to enable a</w:t>
      </w:r>
      <w:r w:rsidRPr="00274CE9">
        <w:rPr>
          <w:sz w:val="24"/>
          <w:szCs w:val="24"/>
        </w:rPr>
        <w:t xml:space="preserve"> statement on ‘where we are at’ in terms of </w:t>
      </w:r>
      <w:r w:rsidRPr="00274CE9">
        <w:rPr>
          <w:rFonts w:cs="Arial"/>
          <w:sz w:val="24"/>
          <w:szCs w:val="24"/>
        </w:rPr>
        <w:t xml:space="preserve">biosecurity decision-making and joint effort. </w:t>
      </w:r>
    </w:p>
    <w:p w14:paraId="35E17713" w14:textId="305BFE7C" w:rsidR="002C6016" w:rsidRDefault="006B13EC" w:rsidP="002C6016">
      <w:pPr>
        <w:spacing w:before="120"/>
        <w:rPr>
          <w:rFonts w:cs="Arial"/>
          <w:sz w:val="24"/>
          <w:szCs w:val="24"/>
        </w:rPr>
      </w:pPr>
      <w:r>
        <w:rPr>
          <w:rFonts w:cs="Arial"/>
          <w:sz w:val="24"/>
          <w:szCs w:val="24"/>
        </w:rPr>
        <w:t>The workshop process identified clear differences in the current biosecurity priorities of ind</w:t>
      </w:r>
      <w:r w:rsidR="009E134A">
        <w:rPr>
          <w:rFonts w:cs="Arial"/>
          <w:sz w:val="24"/>
          <w:szCs w:val="24"/>
        </w:rPr>
        <w:t>ustry, government and community:</w:t>
      </w:r>
    </w:p>
    <w:p w14:paraId="3DFA1F22" w14:textId="52E77371" w:rsidR="006B13EC" w:rsidRPr="00274CE9" w:rsidRDefault="006B13EC" w:rsidP="006B13EC">
      <w:pPr>
        <w:pStyle w:val="ListParagraph"/>
        <w:numPr>
          <w:ilvl w:val="0"/>
          <w:numId w:val="11"/>
        </w:numPr>
        <w:rPr>
          <w:sz w:val="24"/>
          <w:szCs w:val="24"/>
        </w:rPr>
      </w:pPr>
      <w:r w:rsidRPr="00274CE9">
        <w:rPr>
          <w:sz w:val="24"/>
          <w:szCs w:val="24"/>
        </w:rPr>
        <w:t>Industry priorities were focused on biosecurity activities th</w:t>
      </w:r>
      <w:r w:rsidR="00B23DEA">
        <w:rPr>
          <w:sz w:val="24"/>
          <w:szCs w:val="24"/>
        </w:rPr>
        <w:t>at would preserve a profitable/</w:t>
      </w:r>
      <w:r w:rsidRPr="00274CE9">
        <w:rPr>
          <w:sz w:val="24"/>
          <w:szCs w:val="24"/>
        </w:rPr>
        <w:t>sustainable industry</w:t>
      </w:r>
      <w:r>
        <w:rPr>
          <w:sz w:val="24"/>
          <w:szCs w:val="24"/>
        </w:rPr>
        <w:t>.</w:t>
      </w:r>
    </w:p>
    <w:p w14:paraId="3F892156" w14:textId="1A01CD22" w:rsidR="006B13EC" w:rsidRPr="00274CE9" w:rsidRDefault="006B13EC" w:rsidP="006B13EC">
      <w:pPr>
        <w:pStyle w:val="ListParagraph"/>
        <w:numPr>
          <w:ilvl w:val="0"/>
          <w:numId w:val="11"/>
        </w:numPr>
        <w:rPr>
          <w:sz w:val="24"/>
          <w:szCs w:val="24"/>
        </w:rPr>
      </w:pPr>
      <w:r w:rsidRPr="00274CE9">
        <w:rPr>
          <w:sz w:val="24"/>
          <w:szCs w:val="24"/>
        </w:rPr>
        <w:t>Government priorities were targeted toward prevention</w:t>
      </w:r>
      <w:r w:rsidR="009E134A">
        <w:rPr>
          <w:sz w:val="24"/>
          <w:szCs w:val="24"/>
        </w:rPr>
        <w:t xml:space="preserve"> and early eradication</w:t>
      </w:r>
      <w:r w:rsidRPr="00274CE9">
        <w:rPr>
          <w:sz w:val="24"/>
          <w:szCs w:val="24"/>
        </w:rPr>
        <w:t xml:space="preserve">, but </w:t>
      </w:r>
      <w:r>
        <w:rPr>
          <w:sz w:val="24"/>
          <w:szCs w:val="24"/>
        </w:rPr>
        <w:t>also included</w:t>
      </w:r>
      <w:r w:rsidRPr="00274CE9">
        <w:rPr>
          <w:sz w:val="24"/>
          <w:szCs w:val="24"/>
        </w:rPr>
        <w:t xml:space="preserve"> </w:t>
      </w:r>
      <w:r w:rsidR="009E134A">
        <w:rPr>
          <w:sz w:val="24"/>
          <w:szCs w:val="24"/>
        </w:rPr>
        <w:t xml:space="preserve">ongoing actions for </w:t>
      </w:r>
      <w:r w:rsidRPr="00274CE9">
        <w:rPr>
          <w:sz w:val="24"/>
          <w:szCs w:val="24"/>
        </w:rPr>
        <w:t xml:space="preserve">biodiversity protection </w:t>
      </w:r>
      <w:r w:rsidR="009E134A">
        <w:rPr>
          <w:sz w:val="24"/>
          <w:szCs w:val="24"/>
        </w:rPr>
        <w:t>and broader</w:t>
      </w:r>
      <w:r w:rsidRPr="00274CE9">
        <w:rPr>
          <w:sz w:val="24"/>
          <w:szCs w:val="24"/>
        </w:rPr>
        <w:t xml:space="preserve"> policy </w:t>
      </w:r>
      <w:r w:rsidR="009E134A">
        <w:rPr>
          <w:sz w:val="24"/>
          <w:szCs w:val="24"/>
        </w:rPr>
        <w:t>and</w:t>
      </w:r>
      <w:r w:rsidRPr="00274CE9">
        <w:rPr>
          <w:sz w:val="24"/>
          <w:szCs w:val="24"/>
        </w:rPr>
        <w:t xml:space="preserve"> support systems.</w:t>
      </w:r>
    </w:p>
    <w:p w14:paraId="0AD0ACBF" w14:textId="7937399D" w:rsidR="006B13EC" w:rsidRDefault="006B13EC" w:rsidP="006B13EC">
      <w:pPr>
        <w:pStyle w:val="ListParagraph"/>
        <w:numPr>
          <w:ilvl w:val="0"/>
          <w:numId w:val="11"/>
        </w:numPr>
        <w:rPr>
          <w:sz w:val="24"/>
          <w:szCs w:val="24"/>
        </w:rPr>
      </w:pPr>
      <w:r w:rsidRPr="00274CE9">
        <w:rPr>
          <w:sz w:val="24"/>
          <w:szCs w:val="24"/>
        </w:rPr>
        <w:t>Community priorities were for on-ground act</w:t>
      </w:r>
      <w:r w:rsidR="00B23DEA">
        <w:rPr>
          <w:sz w:val="24"/>
          <w:szCs w:val="24"/>
        </w:rPr>
        <w:t>ion targeting established pests.</w:t>
      </w:r>
    </w:p>
    <w:p w14:paraId="0C413E27" w14:textId="6B8D8A60" w:rsidR="006B13EC" w:rsidRDefault="009E134A" w:rsidP="002C6016">
      <w:pPr>
        <w:spacing w:before="120"/>
        <w:rPr>
          <w:sz w:val="24"/>
          <w:szCs w:val="24"/>
        </w:rPr>
      </w:pPr>
      <w:r>
        <w:rPr>
          <w:sz w:val="24"/>
          <w:szCs w:val="24"/>
        </w:rPr>
        <w:t>T</w:t>
      </w:r>
      <w:r w:rsidR="006B13EC">
        <w:rPr>
          <w:sz w:val="24"/>
          <w:szCs w:val="24"/>
        </w:rPr>
        <w:t xml:space="preserve">here were also </w:t>
      </w:r>
      <w:r w:rsidR="00210095">
        <w:rPr>
          <w:sz w:val="24"/>
          <w:szCs w:val="24"/>
        </w:rPr>
        <w:t>priorities</w:t>
      </w:r>
      <w:r w:rsidR="006B13EC">
        <w:rPr>
          <w:sz w:val="24"/>
          <w:szCs w:val="24"/>
        </w:rPr>
        <w:t xml:space="preserve"> that were common to all three sectors—collaboration</w:t>
      </w:r>
      <w:r w:rsidR="00B23DEA">
        <w:rPr>
          <w:sz w:val="24"/>
          <w:szCs w:val="24"/>
        </w:rPr>
        <w:t>,</w:t>
      </w:r>
      <w:r w:rsidR="006B13EC">
        <w:rPr>
          <w:sz w:val="24"/>
          <w:szCs w:val="24"/>
        </w:rPr>
        <w:t xml:space="preserve"> engagement, education and general awareness-raising</w:t>
      </w:r>
      <w:r w:rsidR="00210095">
        <w:rPr>
          <w:sz w:val="24"/>
          <w:szCs w:val="24"/>
        </w:rPr>
        <w:t>.</w:t>
      </w:r>
    </w:p>
    <w:p w14:paraId="738CC85C" w14:textId="7FC2E263" w:rsidR="00210095" w:rsidRDefault="00210095" w:rsidP="002C6016">
      <w:pPr>
        <w:spacing w:before="120"/>
        <w:rPr>
          <w:sz w:val="24"/>
          <w:szCs w:val="24"/>
        </w:rPr>
      </w:pPr>
      <w:r>
        <w:rPr>
          <w:sz w:val="24"/>
          <w:szCs w:val="24"/>
        </w:rPr>
        <w:t xml:space="preserve">For all three sectors, biosecurity investment decisions were influenced by the level of available resources, stakeholder concerns and ‘priorities’. However, how priorities were identified was not clearly understood or articulated. </w:t>
      </w:r>
      <w:r w:rsidR="009E134A">
        <w:rPr>
          <w:sz w:val="24"/>
          <w:szCs w:val="24"/>
        </w:rPr>
        <w:t>The unclear</w:t>
      </w:r>
      <w:r>
        <w:rPr>
          <w:sz w:val="24"/>
          <w:szCs w:val="24"/>
        </w:rPr>
        <w:t xml:space="preserve"> prioritisation process was identified as an important factor preventing effective risk-based decision-making and investment.</w:t>
      </w:r>
      <w:r w:rsidR="009E134A">
        <w:rPr>
          <w:sz w:val="24"/>
          <w:szCs w:val="24"/>
        </w:rPr>
        <w:t xml:space="preserve"> In order to </w:t>
      </w:r>
      <w:r w:rsidR="00B23DEA">
        <w:rPr>
          <w:sz w:val="24"/>
          <w:szCs w:val="24"/>
        </w:rPr>
        <w:t>maintain an effective biosecurity system</w:t>
      </w:r>
      <w:r w:rsidR="009E134A">
        <w:rPr>
          <w:sz w:val="24"/>
          <w:szCs w:val="24"/>
        </w:rPr>
        <w:t>, all three sectors believed research and innovation; industry/community awareness and engagement; partnerships/consultation/collaboration; and a strong strategic approach were necessary.</w:t>
      </w:r>
    </w:p>
    <w:p w14:paraId="77F3A0FF" w14:textId="185A8B33" w:rsidR="006836A3" w:rsidRPr="00274CE9" w:rsidRDefault="009E134A" w:rsidP="006836A3">
      <w:pPr>
        <w:spacing w:before="120"/>
        <w:rPr>
          <w:rFonts w:cs="Arial"/>
          <w:sz w:val="24"/>
          <w:szCs w:val="24"/>
        </w:rPr>
      </w:pPr>
      <w:r>
        <w:rPr>
          <w:sz w:val="24"/>
          <w:szCs w:val="24"/>
        </w:rPr>
        <w:t>The workshop discussion and the information it generated enabled a picture of the current ‘position</w:t>
      </w:r>
      <w:r w:rsidR="00B23DEA">
        <w:rPr>
          <w:sz w:val="24"/>
          <w:szCs w:val="24"/>
        </w:rPr>
        <w:t>s</w:t>
      </w:r>
      <w:r>
        <w:rPr>
          <w:sz w:val="24"/>
          <w:szCs w:val="24"/>
        </w:rPr>
        <w:t xml:space="preserve">’ of industry, government and community to be </w:t>
      </w:r>
      <w:r w:rsidR="00B23DEA">
        <w:rPr>
          <w:sz w:val="24"/>
          <w:szCs w:val="24"/>
        </w:rPr>
        <w:t>developed</w:t>
      </w:r>
      <w:r w:rsidR="006836A3">
        <w:rPr>
          <w:sz w:val="24"/>
          <w:szCs w:val="24"/>
        </w:rPr>
        <w:t xml:space="preserve">. </w:t>
      </w:r>
      <w:r w:rsidR="00C130C3">
        <w:rPr>
          <w:sz w:val="24"/>
          <w:szCs w:val="24"/>
        </w:rPr>
        <w:t>It is suggested</w:t>
      </w:r>
      <w:r w:rsidR="006836A3">
        <w:rPr>
          <w:sz w:val="24"/>
          <w:szCs w:val="24"/>
        </w:rPr>
        <w:t xml:space="preserve"> that the timing is right for </w:t>
      </w:r>
      <w:r w:rsidR="006836A3" w:rsidRPr="00274CE9">
        <w:rPr>
          <w:rFonts w:cs="Arial"/>
          <w:sz w:val="24"/>
          <w:szCs w:val="24"/>
        </w:rPr>
        <w:t xml:space="preserve">genuine cooperation </w:t>
      </w:r>
      <w:r w:rsidR="00B23DEA">
        <w:rPr>
          <w:rFonts w:cs="Arial"/>
          <w:sz w:val="24"/>
          <w:szCs w:val="24"/>
        </w:rPr>
        <w:t>between the sectors</w:t>
      </w:r>
      <w:r w:rsidR="006836A3" w:rsidRPr="00274CE9">
        <w:rPr>
          <w:rFonts w:cs="Arial"/>
          <w:sz w:val="24"/>
          <w:szCs w:val="24"/>
        </w:rPr>
        <w:t>. Furthermore, there is a shared understanding across the sectors that biosecurity investment and action needs to be targeted toward the priority areas.</w:t>
      </w:r>
      <w:r w:rsidR="006836A3">
        <w:rPr>
          <w:rFonts w:cs="Arial"/>
          <w:sz w:val="24"/>
          <w:szCs w:val="24"/>
        </w:rPr>
        <w:t xml:space="preserve"> </w:t>
      </w:r>
      <w:r w:rsidR="006836A3" w:rsidRPr="00274CE9">
        <w:rPr>
          <w:rFonts w:cs="Arial"/>
          <w:sz w:val="24"/>
          <w:szCs w:val="24"/>
        </w:rPr>
        <w:t>The challenge lays in identifying, developing and implementing overarching (or underpinning) principles, frameworks, processes, systems, policies and agreements to achieve this.</w:t>
      </w:r>
    </w:p>
    <w:p w14:paraId="1DA51F91" w14:textId="0DB9B7D1" w:rsidR="006836A3" w:rsidRPr="00274CE9" w:rsidRDefault="006836A3" w:rsidP="006836A3">
      <w:pPr>
        <w:spacing w:before="120"/>
        <w:rPr>
          <w:rFonts w:cs="Arial"/>
          <w:sz w:val="24"/>
          <w:szCs w:val="24"/>
        </w:rPr>
      </w:pPr>
      <w:r>
        <w:rPr>
          <w:rFonts w:cs="Arial"/>
          <w:sz w:val="24"/>
          <w:szCs w:val="24"/>
        </w:rPr>
        <w:t xml:space="preserve">From their </w:t>
      </w:r>
      <w:r w:rsidRPr="00274CE9">
        <w:rPr>
          <w:rFonts w:cs="Arial"/>
          <w:sz w:val="24"/>
          <w:szCs w:val="24"/>
        </w:rPr>
        <w:t>interpretation of the workshop discussion and outputs, combined with their background knowledge, experience and understanding</w:t>
      </w:r>
      <w:r>
        <w:rPr>
          <w:rFonts w:cs="Arial"/>
          <w:sz w:val="24"/>
          <w:szCs w:val="24"/>
        </w:rPr>
        <w:t>, the Biosecurity Council have concluded that:</w:t>
      </w:r>
    </w:p>
    <w:p w14:paraId="668747C3" w14:textId="54504955" w:rsidR="006836A3" w:rsidRPr="006836A3" w:rsidRDefault="000665C0" w:rsidP="006836A3">
      <w:pPr>
        <w:pStyle w:val="ListParagraph"/>
        <w:numPr>
          <w:ilvl w:val="0"/>
          <w:numId w:val="30"/>
        </w:numPr>
        <w:spacing w:before="120"/>
        <w:rPr>
          <w:rFonts w:cs="Arial"/>
          <w:sz w:val="24"/>
          <w:szCs w:val="24"/>
        </w:rPr>
      </w:pPr>
      <w:r>
        <w:rPr>
          <w:rFonts w:cs="Arial"/>
          <w:sz w:val="24"/>
          <w:szCs w:val="24"/>
        </w:rPr>
        <w:t>T</w:t>
      </w:r>
      <w:r w:rsidR="006836A3" w:rsidRPr="006836A3">
        <w:rPr>
          <w:rFonts w:cs="Arial"/>
          <w:sz w:val="24"/>
          <w:szCs w:val="24"/>
        </w:rPr>
        <w:t>here is reasonably widespread acceptance of biosecurity as a shared responsibility. However, this needs to be translated into coordinated and cooperative action to address the biosecurity priorities across the breadth of the invasion curve, with a clearer sense of direction than at present.</w:t>
      </w:r>
    </w:p>
    <w:p w14:paraId="15D6332C" w14:textId="6FE9B4F1" w:rsidR="006836A3" w:rsidRPr="006836A3" w:rsidRDefault="000665C0" w:rsidP="006836A3">
      <w:pPr>
        <w:pStyle w:val="ListParagraph"/>
        <w:numPr>
          <w:ilvl w:val="0"/>
          <w:numId w:val="30"/>
        </w:numPr>
        <w:spacing w:before="120"/>
        <w:rPr>
          <w:rFonts w:cs="Arial"/>
          <w:sz w:val="24"/>
          <w:szCs w:val="24"/>
        </w:rPr>
      </w:pPr>
      <w:r>
        <w:rPr>
          <w:rFonts w:cs="Arial"/>
          <w:sz w:val="24"/>
          <w:szCs w:val="24"/>
        </w:rPr>
        <w:lastRenderedPageBreak/>
        <w:t>W</w:t>
      </w:r>
      <w:r w:rsidR="006836A3" w:rsidRPr="006836A3">
        <w:rPr>
          <w:rFonts w:cs="Arial"/>
          <w:sz w:val="24"/>
          <w:szCs w:val="24"/>
        </w:rPr>
        <w:t>here government withdraws funding support or transfers responsibility to industry and community, it must also accept that it has also relinquished control in those areas.</w:t>
      </w:r>
    </w:p>
    <w:p w14:paraId="584F4EB7" w14:textId="27DD709B" w:rsidR="000665C0" w:rsidRDefault="000665C0" w:rsidP="000665C0">
      <w:pPr>
        <w:pStyle w:val="ListParagraph"/>
        <w:numPr>
          <w:ilvl w:val="0"/>
          <w:numId w:val="30"/>
        </w:numPr>
        <w:spacing w:before="120"/>
        <w:rPr>
          <w:rFonts w:cs="Arial"/>
          <w:sz w:val="24"/>
          <w:szCs w:val="24"/>
        </w:rPr>
      </w:pPr>
      <w:r>
        <w:rPr>
          <w:sz w:val="24"/>
          <w:szCs w:val="24"/>
        </w:rPr>
        <w:t>Industry is ready to ‘step up’ and take a greater leadership role, but t</w:t>
      </w:r>
      <w:r w:rsidR="006836A3" w:rsidRPr="000665C0">
        <w:rPr>
          <w:rFonts w:cs="Arial"/>
          <w:sz w:val="24"/>
          <w:szCs w:val="24"/>
        </w:rPr>
        <w:t>here is a very strong expectation from industry and community that government will provide support, advice and engagement. How government intends to assist industry/community in this transition is unclear.</w:t>
      </w:r>
    </w:p>
    <w:p w14:paraId="31FD4DB6" w14:textId="3BE1B1A9" w:rsidR="000665C0" w:rsidRPr="000665C0" w:rsidRDefault="000665C0" w:rsidP="000665C0">
      <w:pPr>
        <w:pStyle w:val="ListParagraph"/>
        <w:numPr>
          <w:ilvl w:val="0"/>
          <w:numId w:val="30"/>
        </w:numPr>
        <w:spacing w:before="120"/>
        <w:rPr>
          <w:rFonts w:cs="Arial"/>
          <w:sz w:val="24"/>
          <w:szCs w:val="24"/>
        </w:rPr>
      </w:pPr>
      <w:r w:rsidRPr="000665C0">
        <w:rPr>
          <w:rFonts w:cs="Arial"/>
          <w:sz w:val="24"/>
          <w:szCs w:val="24"/>
        </w:rPr>
        <w:t>I</w:t>
      </w:r>
      <w:r w:rsidRPr="000665C0">
        <w:rPr>
          <w:sz w:val="24"/>
          <w:szCs w:val="24"/>
        </w:rPr>
        <w:t xml:space="preserve">ndustry </w:t>
      </w:r>
      <w:r>
        <w:rPr>
          <w:sz w:val="24"/>
          <w:szCs w:val="24"/>
        </w:rPr>
        <w:t xml:space="preserve">and community </w:t>
      </w:r>
      <w:r w:rsidRPr="000665C0">
        <w:rPr>
          <w:sz w:val="24"/>
          <w:szCs w:val="24"/>
        </w:rPr>
        <w:t>resources</w:t>
      </w:r>
      <w:r>
        <w:rPr>
          <w:sz w:val="24"/>
          <w:szCs w:val="24"/>
        </w:rPr>
        <w:t xml:space="preserve"> should </w:t>
      </w:r>
      <w:r w:rsidRPr="000665C0">
        <w:rPr>
          <w:sz w:val="24"/>
          <w:szCs w:val="24"/>
        </w:rPr>
        <w:t xml:space="preserve">be targeted toward the priority areas, and government guidance and support in this area will be critical. </w:t>
      </w:r>
      <w:r>
        <w:rPr>
          <w:sz w:val="24"/>
          <w:szCs w:val="24"/>
        </w:rPr>
        <w:t>F</w:t>
      </w:r>
      <w:r w:rsidRPr="000665C0">
        <w:rPr>
          <w:sz w:val="24"/>
          <w:szCs w:val="24"/>
        </w:rPr>
        <w:t>unding should not be used to address low priorities if our objective is to maintain an effective biosecurity system.</w:t>
      </w:r>
    </w:p>
    <w:p w14:paraId="7AA38481" w14:textId="6DDD1F54" w:rsidR="000665C0" w:rsidRPr="000665C0" w:rsidRDefault="000665C0" w:rsidP="000665C0">
      <w:pPr>
        <w:pStyle w:val="ListParagraph"/>
        <w:numPr>
          <w:ilvl w:val="0"/>
          <w:numId w:val="30"/>
        </w:numPr>
        <w:spacing w:before="120"/>
        <w:rPr>
          <w:sz w:val="24"/>
          <w:szCs w:val="24"/>
        </w:rPr>
      </w:pPr>
      <w:r w:rsidRPr="000665C0">
        <w:rPr>
          <w:rFonts w:cs="Arial"/>
          <w:sz w:val="24"/>
          <w:szCs w:val="24"/>
        </w:rPr>
        <w:t>R</w:t>
      </w:r>
      <w:r w:rsidR="00480AD7">
        <w:rPr>
          <w:rFonts w:cs="Arial"/>
          <w:sz w:val="24"/>
          <w:szCs w:val="24"/>
        </w:rPr>
        <w:t xml:space="preserve">ecognised </w:t>
      </w:r>
      <w:r w:rsidRPr="000665C0">
        <w:rPr>
          <w:rFonts w:cs="Arial"/>
          <w:sz w:val="24"/>
          <w:szCs w:val="24"/>
        </w:rPr>
        <w:t>B</w:t>
      </w:r>
      <w:r w:rsidR="00480AD7">
        <w:rPr>
          <w:rFonts w:cs="Arial"/>
          <w:sz w:val="24"/>
          <w:szCs w:val="24"/>
        </w:rPr>
        <w:t xml:space="preserve">iosecurity </w:t>
      </w:r>
      <w:r w:rsidRPr="000665C0">
        <w:rPr>
          <w:rFonts w:cs="Arial"/>
          <w:sz w:val="24"/>
          <w:szCs w:val="24"/>
        </w:rPr>
        <w:t>G</w:t>
      </w:r>
      <w:r w:rsidR="00480AD7">
        <w:rPr>
          <w:rFonts w:cs="Arial"/>
          <w:sz w:val="24"/>
          <w:szCs w:val="24"/>
        </w:rPr>
        <w:t>roup</w:t>
      </w:r>
      <w:r w:rsidRPr="000665C0">
        <w:rPr>
          <w:rFonts w:cs="Arial"/>
          <w:sz w:val="24"/>
          <w:szCs w:val="24"/>
        </w:rPr>
        <w:t>s appear to be forming to address single issues, such as wild dogs or cotton bush, but whether this is an effective use of an RBG is debatable. Having said that, a single, common issue may be the key to</w:t>
      </w:r>
      <w:r w:rsidRPr="000665C0">
        <w:rPr>
          <w:sz w:val="24"/>
          <w:szCs w:val="24"/>
        </w:rPr>
        <w:t xml:space="preserve"> unite the group and get them started. As they mature they can then consider priority setting, risk-based decisions and a more strategic approach.</w:t>
      </w:r>
    </w:p>
    <w:p w14:paraId="601114BF" w14:textId="0F20D995" w:rsidR="000665C0" w:rsidRPr="00274CE9" w:rsidRDefault="000665C0" w:rsidP="00C130C3">
      <w:pPr>
        <w:pStyle w:val="ListParagraph"/>
        <w:numPr>
          <w:ilvl w:val="0"/>
          <w:numId w:val="30"/>
        </w:numPr>
        <w:spacing w:before="120"/>
        <w:rPr>
          <w:sz w:val="24"/>
          <w:szCs w:val="24"/>
        </w:rPr>
      </w:pPr>
      <w:r w:rsidRPr="00274CE9">
        <w:rPr>
          <w:sz w:val="24"/>
          <w:szCs w:val="24"/>
        </w:rPr>
        <w:t>State-wide, there are policy issues around</w:t>
      </w:r>
      <w:r w:rsidR="00C130C3">
        <w:rPr>
          <w:sz w:val="24"/>
          <w:szCs w:val="24"/>
        </w:rPr>
        <w:t xml:space="preserve"> RBGs that need to be addressed—for example, using government funds to target low priority organisms; the limit of matched government funding; compliance activities for RBG-targeted pests; </w:t>
      </w:r>
      <w:r w:rsidR="00B23DEA">
        <w:rPr>
          <w:sz w:val="24"/>
          <w:szCs w:val="24"/>
        </w:rPr>
        <w:t xml:space="preserve">and </w:t>
      </w:r>
      <w:r w:rsidR="00C130C3">
        <w:rPr>
          <w:sz w:val="24"/>
          <w:szCs w:val="24"/>
        </w:rPr>
        <w:t>ongoing support systems.</w:t>
      </w:r>
    </w:p>
    <w:p w14:paraId="47F96E8A" w14:textId="77777777" w:rsidR="00C130C3" w:rsidRPr="00274CE9" w:rsidRDefault="00C130C3" w:rsidP="00C130C3">
      <w:pPr>
        <w:spacing w:before="120"/>
        <w:rPr>
          <w:rFonts w:cs="Arial"/>
          <w:sz w:val="24"/>
          <w:szCs w:val="24"/>
        </w:rPr>
      </w:pPr>
      <w:r w:rsidRPr="00274CE9">
        <w:rPr>
          <w:rFonts w:cs="Arial"/>
          <w:sz w:val="24"/>
          <w:szCs w:val="24"/>
        </w:rPr>
        <w:t>The Council anticipate developing a position/advice on ‘who does what, how they prioritise, who should pay (and why/how)’. This will include exploring the institutional arrangements for biosecurity across the invasion curve, as well as framing a Council position on prioritisation and risk-based decision making principles and process for future biosecurity investment.</w:t>
      </w:r>
    </w:p>
    <w:p w14:paraId="47128CCF" w14:textId="77777777" w:rsidR="00C130C3" w:rsidRPr="00274CE9" w:rsidRDefault="00C130C3" w:rsidP="00C130C3">
      <w:pPr>
        <w:spacing w:before="120"/>
        <w:rPr>
          <w:rFonts w:cs="Arial"/>
          <w:sz w:val="24"/>
          <w:szCs w:val="24"/>
        </w:rPr>
      </w:pPr>
      <w:r w:rsidRPr="00274CE9">
        <w:rPr>
          <w:rFonts w:cs="Arial"/>
          <w:sz w:val="24"/>
          <w:szCs w:val="24"/>
        </w:rPr>
        <w:t>This work will be underpinned by a ‘status check’ of the current biosecurity system (current investment in biosecurity, gaps and potential improvements) and the findings from the Councils’ stakeholder engagement work.</w:t>
      </w:r>
    </w:p>
    <w:p w14:paraId="4F064341" w14:textId="77777777" w:rsidR="006D182D" w:rsidRPr="00971BA2" w:rsidRDefault="006D182D" w:rsidP="00F85F27">
      <w:pPr>
        <w:spacing w:before="120"/>
      </w:pPr>
      <w:r w:rsidRPr="00971BA2">
        <w:br w:type="page"/>
      </w:r>
    </w:p>
    <w:p w14:paraId="3E4EF44C" w14:textId="77777777" w:rsidR="00BB103E" w:rsidRDefault="00BB103E" w:rsidP="00F85F27">
      <w:pPr>
        <w:pStyle w:val="Heading1"/>
        <w:numPr>
          <w:ilvl w:val="0"/>
          <w:numId w:val="3"/>
        </w:numPr>
      </w:pPr>
      <w:bookmarkStart w:id="2" w:name="_Toc433204404"/>
      <w:r>
        <w:lastRenderedPageBreak/>
        <w:t>Introduction</w:t>
      </w:r>
      <w:bookmarkEnd w:id="2"/>
    </w:p>
    <w:p w14:paraId="752E80F7" w14:textId="4C3D7017" w:rsidR="008F7CA0" w:rsidRPr="00274CE9" w:rsidRDefault="00D7193F" w:rsidP="00D7193F">
      <w:pPr>
        <w:spacing w:before="120"/>
        <w:rPr>
          <w:sz w:val="24"/>
          <w:szCs w:val="24"/>
        </w:rPr>
      </w:pPr>
      <w:r w:rsidRPr="00274CE9">
        <w:rPr>
          <w:rFonts w:cs="Arial"/>
          <w:sz w:val="24"/>
          <w:szCs w:val="24"/>
        </w:rPr>
        <w:t>On 10 July 2015, the Biosecurity Council of Western Australia (the Council) held a stakeholder workshop to explore pers</w:t>
      </w:r>
      <w:r w:rsidR="003B13F6" w:rsidRPr="00274CE9">
        <w:rPr>
          <w:rFonts w:cs="Arial"/>
          <w:sz w:val="24"/>
          <w:szCs w:val="24"/>
        </w:rPr>
        <w:t xml:space="preserve">pectives on risk-based decision </w:t>
      </w:r>
      <w:r w:rsidRPr="00274CE9">
        <w:rPr>
          <w:rFonts w:cs="Arial"/>
          <w:sz w:val="24"/>
          <w:szCs w:val="24"/>
        </w:rPr>
        <w:t>making and biosecurity investment.</w:t>
      </w:r>
      <w:r w:rsidR="008F7CA0" w:rsidRPr="00274CE9">
        <w:rPr>
          <w:sz w:val="24"/>
          <w:szCs w:val="24"/>
        </w:rPr>
        <w:t xml:space="preserve"> The workshop was attended by 31 stakeholders from across </w:t>
      </w:r>
      <w:r w:rsidR="008F7CA0" w:rsidRPr="00274CE9">
        <w:rPr>
          <w:rFonts w:cs="Arial"/>
          <w:sz w:val="24"/>
          <w:szCs w:val="24"/>
        </w:rPr>
        <w:t xml:space="preserve">industry, government and community and a range of sectors including </w:t>
      </w:r>
      <w:r w:rsidR="008F7CA0" w:rsidRPr="00274CE9">
        <w:rPr>
          <w:sz w:val="24"/>
          <w:szCs w:val="24"/>
        </w:rPr>
        <w:t>agriculture, hort</w:t>
      </w:r>
      <w:r w:rsidR="003B13F6" w:rsidRPr="00274CE9">
        <w:rPr>
          <w:sz w:val="24"/>
          <w:szCs w:val="24"/>
        </w:rPr>
        <w:t>iculture, environment, forestry</w:t>
      </w:r>
      <w:r w:rsidR="008F7CA0" w:rsidRPr="00274CE9">
        <w:rPr>
          <w:sz w:val="24"/>
          <w:szCs w:val="24"/>
        </w:rPr>
        <w:t xml:space="preserve"> </w:t>
      </w:r>
      <w:r w:rsidR="003B13F6" w:rsidRPr="00274CE9">
        <w:rPr>
          <w:sz w:val="24"/>
          <w:szCs w:val="24"/>
        </w:rPr>
        <w:t xml:space="preserve">and </w:t>
      </w:r>
      <w:r w:rsidR="008F7CA0" w:rsidRPr="00274CE9">
        <w:rPr>
          <w:sz w:val="24"/>
          <w:szCs w:val="24"/>
        </w:rPr>
        <w:t>f</w:t>
      </w:r>
      <w:r w:rsidR="003B13F6" w:rsidRPr="00274CE9">
        <w:rPr>
          <w:sz w:val="24"/>
          <w:szCs w:val="24"/>
        </w:rPr>
        <w:t>isheries</w:t>
      </w:r>
      <w:r w:rsidR="008F7CA0" w:rsidRPr="00274CE9">
        <w:rPr>
          <w:sz w:val="24"/>
          <w:szCs w:val="24"/>
        </w:rPr>
        <w:t>.</w:t>
      </w:r>
    </w:p>
    <w:p w14:paraId="3F3D74A8" w14:textId="37169D51" w:rsidR="008F7CA0" w:rsidRPr="00274CE9" w:rsidRDefault="008F7CA0" w:rsidP="00D7193F">
      <w:pPr>
        <w:spacing w:before="120"/>
        <w:rPr>
          <w:sz w:val="24"/>
          <w:szCs w:val="24"/>
        </w:rPr>
      </w:pPr>
      <w:r w:rsidRPr="00274CE9">
        <w:rPr>
          <w:sz w:val="24"/>
          <w:szCs w:val="24"/>
        </w:rPr>
        <w:t xml:space="preserve">The purpose of this report is </w:t>
      </w:r>
      <w:r w:rsidR="00CC4ADD" w:rsidRPr="00274CE9">
        <w:rPr>
          <w:sz w:val="24"/>
          <w:szCs w:val="24"/>
        </w:rPr>
        <w:t xml:space="preserve">to </w:t>
      </w:r>
      <w:r w:rsidR="009A318B" w:rsidRPr="00274CE9">
        <w:rPr>
          <w:sz w:val="24"/>
          <w:szCs w:val="24"/>
        </w:rPr>
        <w:t xml:space="preserve">summarise and interpret the workshop discussion </w:t>
      </w:r>
      <w:r w:rsidR="00CC4ADD" w:rsidRPr="00274CE9">
        <w:rPr>
          <w:sz w:val="24"/>
          <w:szCs w:val="24"/>
        </w:rPr>
        <w:t xml:space="preserve">in order </w:t>
      </w:r>
      <w:r w:rsidRPr="00274CE9">
        <w:rPr>
          <w:sz w:val="24"/>
          <w:szCs w:val="24"/>
        </w:rPr>
        <w:t>to</w:t>
      </w:r>
      <w:r w:rsidR="00127512" w:rsidRPr="00274CE9">
        <w:rPr>
          <w:sz w:val="24"/>
          <w:szCs w:val="24"/>
        </w:rPr>
        <w:t xml:space="preserve"> </w:t>
      </w:r>
      <w:r w:rsidR="009A318B" w:rsidRPr="00274CE9">
        <w:rPr>
          <w:sz w:val="24"/>
          <w:szCs w:val="24"/>
        </w:rPr>
        <w:t xml:space="preserve">provide a clear statement on ‘where we are at’ in terms of </w:t>
      </w:r>
      <w:r w:rsidR="009A318B" w:rsidRPr="00274CE9">
        <w:rPr>
          <w:rFonts w:cs="Arial"/>
          <w:sz w:val="24"/>
          <w:szCs w:val="24"/>
        </w:rPr>
        <w:t xml:space="preserve">biosecurity decision-making and joint effort. The report documents the workshop process </w:t>
      </w:r>
      <w:r w:rsidR="002A4619" w:rsidRPr="00274CE9">
        <w:rPr>
          <w:rFonts w:cs="Arial"/>
          <w:sz w:val="24"/>
          <w:szCs w:val="24"/>
        </w:rPr>
        <w:t>and findings</w:t>
      </w:r>
      <w:r w:rsidR="009A318B" w:rsidRPr="00274CE9">
        <w:rPr>
          <w:rFonts w:cs="Arial"/>
          <w:sz w:val="24"/>
          <w:szCs w:val="24"/>
        </w:rPr>
        <w:t xml:space="preserve">, followed by the </w:t>
      </w:r>
      <w:r w:rsidR="009A318B" w:rsidRPr="00274CE9">
        <w:rPr>
          <w:sz w:val="24"/>
          <w:szCs w:val="24"/>
        </w:rPr>
        <w:t>Biosecurity Council’s</w:t>
      </w:r>
      <w:r w:rsidR="00127512" w:rsidRPr="00274CE9">
        <w:rPr>
          <w:sz w:val="24"/>
          <w:szCs w:val="24"/>
        </w:rPr>
        <w:t xml:space="preserve"> </w:t>
      </w:r>
      <w:r w:rsidR="009A318B" w:rsidRPr="00274CE9">
        <w:rPr>
          <w:sz w:val="24"/>
          <w:szCs w:val="24"/>
        </w:rPr>
        <w:t>interpretations</w:t>
      </w:r>
      <w:r w:rsidR="00B23DEA">
        <w:rPr>
          <w:sz w:val="24"/>
          <w:szCs w:val="24"/>
        </w:rPr>
        <w:t xml:space="preserve"> and</w:t>
      </w:r>
      <w:r w:rsidR="00CC4ADD" w:rsidRPr="00274CE9">
        <w:rPr>
          <w:sz w:val="24"/>
          <w:szCs w:val="24"/>
        </w:rPr>
        <w:t xml:space="preserve"> conclusions.</w:t>
      </w:r>
      <w:r w:rsidR="003D55C5" w:rsidRPr="00274CE9">
        <w:rPr>
          <w:rFonts w:cs="Arial"/>
          <w:sz w:val="24"/>
          <w:szCs w:val="24"/>
        </w:rPr>
        <w:t xml:space="preserve"> The high-level of participant contribution to the workshop was highlighted in the workshop evaluation responses</w:t>
      </w:r>
      <w:r w:rsidR="00B23DEA">
        <w:rPr>
          <w:rFonts w:cs="Arial"/>
          <w:sz w:val="24"/>
          <w:szCs w:val="24"/>
        </w:rPr>
        <w:t>,</w:t>
      </w:r>
      <w:r w:rsidR="003D55C5" w:rsidRPr="00274CE9">
        <w:rPr>
          <w:rFonts w:cs="Arial"/>
          <w:sz w:val="24"/>
          <w:szCs w:val="24"/>
        </w:rPr>
        <w:t xml:space="preserve"> as was achievement of the anticipated workshop outcomes of improving shared understanding. As such, the Council </w:t>
      </w:r>
      <w:r w:rsidR="00CC4ADD" w:rsidRPr="00274CE9">
        <w:rPr>
          <w:rFonts w:cs="Arial"/>
          <w:sz w:val="24"/>
          <w:szCs w:val="24"/>
        </w:rPr>
        <w:t>are confident</w:t>
      </w:r>
      <w:r w:rsidR="003D55C5" w:rsidRPr="00274CE9">
        <w:rPr>
          <w:rFonts w:cs="Arial"/>
          <w:sz w:val="24"/>
          <w:szCs w:val="24"/>
        </w:rPr>
        <w:t xml:space="preserve"> in the </w:t>
      </w:r>
      <w:r w:rsidR="002A4619" w:rsidRPr="00274CE9">
        <w:rPr>
          <w:rFonts w:cs="Arial"/>
          <w:sz w:val="24"/>
          <w:szCs w:val="24"/>
        </w:rPr>
        <w:t>conclusions</w:t>
      </w:r>
      <w:r w:rsidR="003D55C5" w:rsidRPr="00274CE9">
        <w:rPr>
          <w:rFonts w:cs="Arial"/>
          <w:sz w:val="24"/>
          <w:szCs w:val="24"/>
        </w:rPr>
        <w:t xml:space="preserve"> presented in this report.</w:t>
      </w:r>
    </w:p>
    <w:p w14:paraId="6E899B1D" w14:textId="19870C5E" w:rsidR="00A72F76" w:rsidRDefault="00E6682B" w:rsidP="00FD6573">
      <w:pPr>
        <w:pStyle w:val="Heading1"/>
      </w:pPr>
      <w:bookmarkStart w:id="3" w:name="_Toc433204405"/>
      <w:r>
        <w:t>The workshop</w:t>
      </w:r>
      <w:bookmarkEnd w:id="3"/>
    </w:p>
    <w:p w14:paraId="36C5CEC7" w14:textId="3B2EA0ED" w:rsidR="003D55C5" w:rsidRPr="00CD142D" w:rsidRDefault="003D55C5" w:rsidP="003D55C5">
      <w:pPr>
        <w:pStyle w:val="Heading2"/>
      </w:pPr>
      <w:bookmarkStart w:id="4" w:name="_Toc433204406"/>
      <w:r>
        <w:t>P</w:t>
      </w:r>
      <w:r w:rsidRPr="00CD142D">
        <w:t>urpose</w:t>
      </w:r>
      <w:r>
        <w:t xml:space="preserve"> and outcomes</w:t>
      </w:r>
      <w:bookmarkEnd w:id="4"/>
    </w:p>
    <w:p w14:paraId="5D9A667B" w14:textId="77777777" w:rsidR="003D55C5" w:rsidRPr="00274CE9" w:rsidRDefault="003D55C5" w:rsidP="003D55C5">
      <w:pPr>
        <w:spacing w:before="120"/>
        <w:rPr>
          <w:rFonts w:cs="Arial"/>
          <w:sz w:val="24"/>
          <w:szCs w:val="24"/>
        </w:rPr>
      </w:pPr>
      <w:r w:rsidRPr="00274CE9">
        <w:rPr>
          <w:rFonts w:cs="Arial"/>
          <w:sz w:val="24"/>
          <w:szCs w:val="24"/>
        </w:rPr>
        <w:t xml:space="preserve">The purpose of the stakeholder workshop was to explore risk-based decision-making and investment in biosecurity in Western Australian from industry, government and community perspectives. </w:t>
      </w:r>
    </w:p>
    <w:p w14:paraId="075A73C0" w14:textId="77777777" w:rsidR="003D55C5" w:rsidRPr="00274CE9" w:rsidRDefault="003D55C5" w:rsidP="003D55C5">
      <w:pPr>
        <w:spacing w:before="120"/>
        <w:rPr>
          <w:rFonts w:cs="Arial"/>
          <w:sz w:val="24"/>
          <w:szCs w:val="24"/>
        </w:rPr>
      </w:pPr>
      <w:r w:rsidRPr="00274CE9">
        <w:rPr>
          <w:rFonts w:cs="Arial"/>
          <w:sz w:val="24"/>
          <w:szCs w:val="24"/>
        </w:rPr>
        <w:t>The key anticipated outcome was for new understanding on how industry, government and community sectors can cooperate in biosecurity decision-making and joint effort. To achieve this, participants were encouraged to contribute to:</w:t>
      </w:r>
    </w:p>
    <w:p w14:paraId="341731EA" w14:textId="51C4EE97" w:rsidR="003D55C5" w:rsidRPr="00274CE9" w:rsidRDefault="003D55C5" w:rsidP="0078442D">
      <w:pPr>
        <w:pStyle w:val="ListParagraph"/>
        <w:numPr>
          <w:ilvl w:val="0"/>
          <w:numId w:val="7"/>
        </w:numPr>
        <w:spacing w:before="120"/>
        <w:rPr>
          <w:rFonts w:cs="Arial"/>
          <w:sz w:val="24"/>
          <w:szCs w:val="24"/>
        </w:rPr>
      </w:pPr>
      <w:r w:rsidRPr="00274CE9">
        <w:rPr>
          <w:rFonts w:cs="Arial"/>
          <w:sz w:val="24"/>
          <w:szCs w:val="24"/>
        </w:rPr>
        <w:t>A shared understanding of how the ‘generalised invasion curve’</w:t>
      </w:r>
      <w:r w:rsidR="00A23290" w:rsidRPr="00274CE9">
        <w:rPr>
          <w:rFonts w:cs="Arial"/>
          <w:sz w:val="24"/>
          <w:szCs w:val="24"/>
        </w:rPr>
        <w:t xml:space="preserve"> (</w:t>
      </w:r>
      <w:r w:rsidR="00A23290" w:rsidRPr="00013D3E">
        <w:rPr>
          <w:rFonts w:cs="Arial"/>
          <w:sz w:val="24"/>
          <w:szCs w:val="24"/>
        </w:rPr>
        <w:t>Fig. 1)</w:t>
      </w:r>
      <w:r w:rsidRPr="00013D3E">
        <w:rPr>
          <w:rFonts w:cs="Arial"/>
          <w:sz w:val="24"/>
          <w:szCs w:val="24"/>
        </w:rPr>
        <w:t xml:space="preserve"> guides</w:t>
      </w:r>
      <w:r w:rsidRPr="00274CE9">
        <w:rPr>
          <w:rFonts w:cs="Arial"/>
          <w:sz w:val="24"/>
          <w:szCs w:val="24"/>
        </w:rPr>
        <w:t xml:space="preserve"> decision-making</w:t>
      </w:r>
    </w:p>
    <w:p w14:paraId="78E2BB71" w14:textId="77777777" w:rsidR="003D55C5" w:rsidRPr="00274CE9" w:rsidRDefault="003D55C5" w:rsidP="0078442D">
      <w:pPr>
        <w:pStyle w:val="ListParagraph"/>
        <w:numPr>
          <w:ilvl w:val="0"/>
          <w:numId w:val="7"/>
        </w:numPr>
        <w:spacing w:before="120"/>
        <w:rPr>
          <w:rFonts w:cs="Arial"/>
          <w:sz w:val="24"/>
          <w:szCs w:val="24"/>
        </w:rPr>
      </w:pPr>
      <w:r w:rsidRPr="00274CE9">
        <w:rPr>
          <w:rFonts w:cs="Arial"/>
          <w:sz w:val="24"/>
          <w:szCs w:val="24"/>
        </w:rPr>
        <w:t>A shared understanding of the drivers and constraints for industry, community and government action on biosecurity</w:t>
      </w:r>
    </w:p>
    <w:p w14:paraId="2D3DCB4C" w14:textId="1735981D" w:rsidR="003D55C5" w:rsidRPr="00274CE9" w:rsidRDefault="003D55C5" w:rsidP="0078442D">
      <w:pPr>
        <w:pStyle w:val="ListParagraph"/>
        <w:numPr>
          <w:ilvl w:val="0"/>
          <w:numId w:val="7"/>
        </w:numPr>
        <w:spacing w:before="120"/>
        <w:rPr>
          <w:b/>
          <w:sz w:val="24"/>
          <w:szCs w:val="24"/>
        </w:rPr>
      </w:pPr>
      <w:r w:rsidRPr="00274CE9">
        <w:rPr>
          <w:rFonts w:cs="Arial"/>
          <w:sz w:val="24"/>
          <w:szCs w:val="24"/>
        </w:rPr>
        <w:t>An improved understanding of the process for risk-based decision-making and balancing effort across biosecurity threats and across sectors.</w:t>
      </w:r>
    </w:p>
    <w:p w14:paraId="36ACF601" w14:textId="77777777" w:rsidR="003D55C5" w:rsidRDefault="003D55C5" w:rsidP="003D55C5">
      <w:pPr>
        <w:pStyle w:val="Heading2"/>
      </w:pPr>
      <w:bookmarkStart w:id="5" w:name="_Toc433204407"/>
      <w:r>
        <w:t>Stakeholders</w:t>
      </w:r>
      <w:bookmarkEnd w:id="5"/>
    </w:p>
    <w:p w14:paraId="072D1793" w14:textId="207F1EB3" w:rsidR="003D55C5" w:rsidRPr="00274CE9" w:rsidRDefault="003D55C5" w:rsidP="003D55C5">
      <w:pPr>
        <w:spacing w:before="120"/>
        <w:rPr>
          <w:sz w:val="24"/>
          <w:szCs w:val="24"/>
        </w:rPr>
      </w:pPr>
      <w:r w:rsidRPr="00274CE9">
        <w:rPr>
          <w:sz w:val="24"/>
          <w:szCs w:val="24"/>
        </w:rPr>
        <w:t>Invitations were sent to 51 people from across 35 organisations/sectors. A total of 31 stakeholders participated in the workshop, plus the Biosecurity Council (x7) and scenario developers (x5). In addition, there were six fac</w:t>
      </w:r>
      <w:r w:rsidR="003B13F6" w:rsidRPr="00274CE9">
        <w:rPr>
          <w:sz w:val="24"/>
          <w:szCs w:val="24"/>
        </w:rPr>
        <w:t>ilitators. The list of invitees</w:t>
      </w:r>
      <w:r w:rsidRPr="00274CE9">
        <w:rPr>
          <w:sz w:val="24"/>
          <w:szCs w:val="24"/>
        </w:rPr>
        <w:t>/participants is provided at Appendix 1.</w:t>
      </w:r>
    </w:p>
    <w:p w14:paraId="2D9738DA" w14:textId="77777777" w:rsidR="00013D3E" w:rsidRDefault="00013D3E">
      <w:pPr>
        <w:spacing w:line="240" w:lineRule="auto"/>
        <w:jc w:val="center"/>
        <w:rPr>
          <w:rFonts w:eastAsiaTheme="majorEastAsia" w:cstheme="majorBidi"/>
          <w:b/>
          <w:bCs/>
          <w:sz w:val="26"/>
          <w:szCs w:val="26"/>
        </w:rPr>
      </w:pPr>
      <w:r>
        <w:br w:type="page"/>
      </w:r>
    </w:p>
    <w:p w14:paraId="1D6CBBB2" w14:textId="57575F3C" w:rsidR="00013D3E" w:rsidRDefault="00013D3E" w:rsidP="000B7410">
      <w:r w:rsidRPr="00013D3E">
        <w:rPr>
          <w:noProof/>
          <w:lang w:eastAsia="en-AU"/>
        </w:rPr>
        <w:lastRenderedPageBreak/>
        <w:drawing>
          <wp:inline distT="0" distB="0" distL="0" distR="0" wp14:anchorId="4DED54F1" wp14:editId="67554DED">
            <wp:extent cx="5928360" cy="3375660"/>
            <wp:effectExtent l="0" t="0" r="0" b="0"/>
            <wp:docPr id="5" name="Picture 4" descr="Graph identifying the generalised invasion curve where, over time, the area occupied by an invasive species increases until it is widespread and abundant throughout its potential range. Prevention, eradication and containment activities are valid to undertake in the early stages of an invasion, but once the species is widespread, actions tageting the protection of key assets is v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srcRect t="10469" b="3652"/>
                    <a:stretch/>
                  </pic:blipFill>
                  <pic:spPr bwMode="auto">
                    <a:xfrm>
                      <a:off x="0" y="0"/>
                      <a:ext cx="5933769" cy="3378740"/>
                    </a:xfrm>
                    <a:prstGeom prst="rect">
                      <a:avLst/>
                    </a:prstGeom>
                    <a:ln>
                      <a:noFill/>
                    </a:ln>
                    <a:extLst>
                      <a:ext uri="{53640926-AAD7-44D8-BBD7-CCE9431645EC}">
                        <a14:shadowObscured xmlns:a14="http://schemas.microsoft.com/office/drawing/2010/main"/>
                      </a:ext>
                    </a:extLst>
                  </pic:spPr>
                </pic:pic>
              </a:graphicData>
            </a:graphic>
          </wp:inline>
        </w:drawing>
      </w:r>
    </w:p>
    <w:p w14:paraId="38E1144D" w14:textId="49F01406" w:rsidR="00013D3E" w:rsidRDefault="00013D3E" w:rsidP="00013D3E">
      <w:pPr>
        <w:rPr>
          <w:sz w:val="24"/>
          <w:szCs w:val="24"/>
        </w:rPr>
      </w:pPr>
      <w:proofErr w:type="gramStart"/>
      <w:r w:rsidRPr="00013D3E">
        <w:rPr>
          <w:b/>
          <w:sz w:val="24"/>
          <w:szCs w:val="24"/>
        </w:rPr>
        <w:t>Figure 1.</w:t>
      </w:r>
      <w:proofErr w:type="gramEnd"/>
      <w:r w:rsidRPr="00013D3E">
        <w:rPr>
          <w:b/>
          <w:sz w:val="24"/>
          <w:szCs w:val="24"/>
        </w:rPr>
        <w:t xml:space="preserve"> </w:t>
      </w:r>
      <w:r w:rsidRPr="00013D3E">
        <w:rPr>
          <w:sz w:val="24"/>
          <w:szCs w:val="24"/>
        </w:rPr>
        <w:t>The generalised invasion curve (Source: Department of Environment and Primary Industries, Victoria).</w:t>
      </w:r>
    </w:p>
    <w:p w14:paraId="1A3D0A8A" w14:textId="77777777" w:rsidR="00013D3E" w:rsidRPr="00013D3E" w:rsidRDefault="00013D3E" w:rsidP="00013D3E">
      <w:pPr>
        <w:rPr>
          <w:sz w:val="24"/>
          <w:szCs w:val="24"/>
        </w:rPr>
      </w:pPr>
    </w:p>
    <w:p w14:paraId="1674F38D" w14:textId="06094B37" w:rsidR="003D55C5" w:rsidRDefault="003D55C5" w:rsidP="003D55C5">
      <w:pPr>
        <w:pStyle w:val="Heading2"/>
      </w:pPr>
      <w:bookmarkStart w:id="6" w:name="_Toc433204408"/>
      <w:r>
        <w:t>Agenda</w:t>
      </w:r>
      <w:bookmarkEnd w:id="6"/>
    </w:p>
    <w:p w14:paraId="095BF6DB" w14:textId="2D65276C" w:rsidR="006D182D" w:rsidRPr="00274CE9" w:rsidRDefault="00E6682B" w:rsidP="00F85F27">
      <w:pPr>
        <w:spacing w:before="120"/>
        <w:rPr>
          <w:sz w:val="24"/>
          <w:szCs w:val="24"/>
        </w:rPr>
      </w:pPr>
      <w:r w:rsidRPr="00274CE9">
        <w:rPr>
          <w:sz w:val="24"/>
          <w:szCs w:val="24"/>
        </w:rPr>
        <w:t>There were three sections to the stakeholder workshop</w:t>
      </w:r>
      <w:r w:rsidR="00D57227" w:rsidRPr="00274CE9">
        <w:rPr>
          <w:sz w:val="24"/>
          <w:szCs w:val="24"/>
        </w:rPr>
        <w:t>:</w:t>
      </w:r>
    </w:p>
    <w:p w14:paraId="072D771A" w14:textId="4F5B9E44" w:rsidR="00E6682B" w:rsidRPr="00274CE9" w:rsidRDefault="00E6682B" w:rsidP="0078442D">
      <w:pPr>
        <w:pStyle w:val="ListParagraph"/>
        <w:numPr>
          <w:ilvl w:val="0"/>
          <w:numId w:val="8"/>
        </w:numPr>
        <w:spacing w:before="120"/>
        <w:rPr>
          <w:sz w:val="24"/>
          <w:szCs w:val="24"/>
        </w:rPr>
      </w:pPr>
      <w:r w:rsidRPr="00274CE9">
        <w:rPr>
          <w:sz w:val="24"/>
          <w:szCs w:val="24"/>
        </w:rPr>
        <w:t>Introduction to the generalised invasion curve</w:t>
      </w:r>
    </w:p>
    <w:p w14:paraId="5E4DF664" w14:textId="50534D13" w:rsidR="00E6682B" w:rsidRPr="00274CE9" w:rsidRDefault="00E6682B" w:rsidP="0078442D">
      <w:pPr>
        <w:pStyle w:val="ListParagraph"/>
        <w:numPr>
          <w:ilvl w:val="0"/>
          <w:numId w:val="8"/>
        </w:numPr>
        <w:spacing w:before="120"/>
        <w:rPr>
          <w:sz w:val="24"/>
          <w:szCs w:val="24"/>
        </w:rPr>
      </w:pPr>
      <w:r w:rsidRPr="00274CE9">
        <w:rPr>
          <w:sz w:val="24"/>
          <w:szCs w:val="24"/>
        </w:rPr>
        <w:t>Review of resourcing</w:t>
      </w:r>
      <w:r w:rsidR="00755BF4" w:rsidRPr="00274CE9">
        <w:rPr>
          <w:sz w:val="24"/>
          <w:szCs w:val="24"/>
        </w:rPr>
        <w:t>:</w:t>
      </w:r>
      <w:r w:rsidRPr="00274CE9">
        <w:rPr>
          <w:sz w:val="24"/>
          <w:szCs w:val="24"/>
        </w:rPr>
        <w:t xml:space="preserve"> where and how resources are targeted; opportunities; and constraints</w:t>
      </w:r>
    </w:p>
    <w:p w14:paraId="6FF2355D" w14:textId="0E5BD313" w:rsidR="00E6682B" w:rsidRPr="00274CE9" w:rsidRDefault="00E6682B" w:rsidP="0078442D">
      <w:pPr>
        <w:pStyle w:val="ListParagraph"/>
        <w:numPr>
          <w:ilvl w:val="0"/>
          <w:numId w:val="8"/>
        </w:numPr>
        <w:spacing w:before="120"/>
        <w:rPr>
          <w:sz w:val="24"/>
          <w:szCs w:val="24"/>
        </w:rPr>
      </w:pPr>
      <w:r w:rsidRPr="00274CE9">
        <w:rPr>
          <w:sz w:val="24"/>
          <w:szCs w:val="24"/>
        </w:rPr>
        <w:t>Exploration of risk-based decision-making and investment</w:t>
      </w:r>
      <w:r w:rsidR="00387E5A" w:rsidRPr="00274CE9">
        <w:rPr>
          <w:sz w:val="24"/>
          <w:szCs w:val="24"/>
        </w:rPr>
        <w:t>.</w:t>
      </w:r>
    </w:p>
    <w:p w14:paraId="648FEA5B" w14:textId="1D385472" w:rsidR="00BC4C2D" w:rsidRPr="00274CE9" w:rsidRDefault="00BC4C2D" w:rsidP="00BC4C2D">
      <w:pPr>
        <w:spacing w:before="120"/>
        <w:rPr>
          <w:sz w:val="24"/>
          <w:szCs w:val="24"/>
        </w:rPr>
      </w:pPr>
      <w:r w:rsidRPr="00274CE9">
        <w:rPr>
          <w:sz w:val="24"/>
          <w:szCs w:val="24"/>
        </w:rPr>
        <w:t>Information on each session, including the key messages and workshop outputs, are provided in Appendix 2.</w:t>
      </w:r>
    </w:p>
    <w:p w14:paraId="5F57323F" w14:textId="140CEDAF" w:rsidR="0082568B" w:rsidRDefault="0082568B" w:rsidP="0082568B">
      <w:pPr>
        <w:pStyle w:val="Heading2"/>
      </w:pPr>
      <w:bookmarkStart w:id="7" w:name="_Toc433204409"/>
      <w:r>
        <w:t>Evaluation</w:t>
      </w:r>
      <w:bookmarkEnd w:id="7"/>
    </w:p>
    <w:p w14:paraId="2F2F9146" w14:textId="44E2C4DB" w:rsidR="0082568B" w:rsidRPr="00274CE9" w:rsidRDefault="0082568B" w:rsidP="0082568B">
      <w:pPr>
        <w:spacing w:before="120"/>
        <w:rPr>
          <w:rFonts w:cs="Arial"/>
          <w:sz w:val="24"/>
          <w:szCs w:val="24"/>
        </w:rPr>
      </w:pPr>
      <w:r w:rsidRPr="00274CE9">
        <w:rPr>
          <w:rFonts w:cs="Arial"/>
          <w:sz w:val="24"/>
          <w:szCs w:val="24"/>
        </w:rPr>
        <w:t>In the week following the workshop, participants were invited to complete an online questionnaire to evaluate the success of the workshop at achieving its anticipated outcomes. A total of 21 people (68%) responded (11 from industry and five each from government and community). The results are presented in Appendi</w:t>
      </w:r>
      <w:r w:rsidR="003B4061" w:rsidRPr="00274CE9">
        <w:rPr>
          <w:rFonts w:cs="Arial"/>
          <w:sz w:val="24"/>
          <w:szCs w:val="24"/>
        </w:rPr>
        <w:t>x</w:t>
      </w:r>
      <w:r w:rsidRPr="00274CE9">
        <w:rPr>
          <w:rFonts w:cs="Arial"/>
          <w:sz w:val="24"/>
          <w:szCs w:val="24"/>
        </w:rPr>
        <w:t xml:space="preserve"> 3.</w:t>
      </w:r>
    </w:p>
    <w:p w14:paraId="3DE423AB" w14:textId="7D8D51CA" w:rsidR="0082568B" w:rsidRPr="00274CE9" w:rsidRDefault="0082568B" w:rsidP="0082568B">
      <w:pPr>
        <w:spacing w:before="120"/>
        <w:rPr>
          <w:rFonts w:cs="Arial"/>
          <w:sz w:val="24"/>
          <w:szCs w:val="24"/>
        </w:rPr>
      </w:pPr>
      <w:r w:rsidRPr="00274CE9">
        <w:rPr>
          <w:rFonts w:cs="Arial"/>
          <w:sz w:val="24"/>
          <w:szCs w:val="24"/>
        </w:rPr>
        <w:t xml:space="preserve">In summary, the overall anticipated outcome of the workshop was a ‘new understanding on how industry, government and community sectors can cooperate in biosecurity decision-making and joint effort’. Evaluation data support the achievement of this outcome and suggest a high level of participant interaction and contribution (see Table </w:t>
      </w:r>
      <w:r w:rsidR="00013D3E">
        <w:rPr>
          <w:rFonts w:cs="Arial"/>
          <w:sz w:val="24"/>
          <w:szCs w:val="24"/>
        </w:rPr>
        <w:t>A3.1</w:t>
      </w:r>
      <w:r w:rsidRPr="00274CE9">
        <w:rPr>
          <w:rFonts w:cs="Arial"/>
          <w:sz w:val="24"/>
          <w:szCs w:val="24"/>
        </w:rPr>
        <w:t>, Appendix 3).</w:t>
      </w:r>
    </w:p>
    <w:p w14:paraId="541BD235" w14:textId="7F782994" w:rsidR="00BE748D" w:rsidRDefault="00BE748D" w:rsidP="00BE748D">
      <w:pPr>
        <w:pStyle w:val="Heading1"/>
      </w:pPr>
      <w:bookmarkStart w:id="8" w:name="_Toc433204410"/>
      <w:r>
        <w:lastRenderedPageBreak/>
        <w:t>Findings</w:t>
      </w:r>
      <w:bookmarkEnd w:id="8"/>
    </w:p>
    <w:p w14:paraId="37C0FFC8" w14:textId="6500EAA1" w:rsidR="007625E4" w:rsidRDefault="00227186" w:rsidP="007625E4">
      <w:pPr>
        <w:pStyle w:val="Heading2"/>
      </w:pPr>
      <w:bookmarkStart w:id="9" w:name="_Toc433204411"/>
      <w:r>
        <w:t>Biosecurity decision-making</w:t>
      </w:r>
      <w:bookmarkEnd w:id="9"/>
    </w:p>
    <w:p w14:paraId="558B9C7F" w14:textId="0B2BC635" w:rsidR="00227186" w:rsidRPr="00274CE9" w:rsidRDefault="003229F2" w:rsidP="00423729">
      <w:pPr>
        <w:spacing w:before="120"/>
        <w:rPr>
          <w:sz w:val="24"/>
          <w:szCs w:val="24"/>
        </w:rPr>
      </w:pPr>
      <w:r w:rsidRPr="00274CE9">
        <w:rPr>
          <w:sz w:val="24"/>
          <w:szCs w:val="24"/>
        </w:rPr>
        <w:t>Biosecurity was acknowledged to be a complex issue to be tackled collaboratively</w:t>
      </w:r>
      <w:r w:rsidR="008563FD" w:rsidRPr="00274CE9">
        <w:rPr>
          <w:sz w:val="24"/>
          <w:szCs w:val="24"/>
        </w:rPr>
        <w:t>.</w:t>
      </w:r>
      <w:r w:rsidRPr="00274CE9">
        <w:rPr>
          <w:sz w:val="24"/>
          <w:szCs w:val="24"/>
        </w:rPr>
        <w:t xml:space="preserve"> </w:t>
      </w:r>
      <w:r w:rsidR="00DD72DF" w:rsidRPr="00274CE9">
        <w:rPr>
          <w:sz w:val="24"/>
          <w:szCs w:val="24"/>
        </w:rPr>
        <w:t xml:space="preserve">Clear cost-sharing agreements, articulated roles/responsibilities and actionable policies and procedures were seen as important underpinnings for biosecurity decision-making. The workshop identified </w:t>
      </w:r>
      <w:r w:rsidR="00227186" w:rsidRPr="00274CE9">
        <w:rPr>
          <w:sz w:val="24"/>
          <w:szCs w:val="24"/>
        </w:rPr>
        <w:t xml:space="preserve">clear differences in the current biosecurity priorities of </w:t>
      </w:r>
      <w:proofErr w:type="gramStart"/>
      <w:r w:rsidR="00227186" w:rsidRPr="00274CE9">
        <w:rPr>
          <w:sz w:val="24"/>
          <w:szCs w:val="24"/>
        </w:rPr>
        <w:t>industry,</w:t>
      </w:r>
      <w:proofErr w:type="gramEnd"/>
      <w:r w:rsidR="00227186" w:rsidRPr="00274CE9">
        <w:rPr>
          <w:sz w:val="24"/>
          <w:szCs w:val="24"/>
        </w:rPr>
        <w:t xml:space="preserve"> government and community</w:t>
      </w:r>
      <w:r w:rsidR="00013D3E">
        <w:rPr>
          <w:sz w:val="24"/>
          <w:szCs w:val="24"/>
        </w:rPr>
        <w:t xml:space="preserve"> (see also Fig. 2)</w:t>
      </w:r>
      <w:r w:rsidR="00227186" w:rsidRPr="00274CE9">
        <w:rPr>
          <w:sz w:val="24"/>
          <w:szCs w:val="24"/>
        </w:rPr>
        <w:t>:</w:t>
      </w:r>
    </w:p>
    <w:p w14:paraId="7AED54B6" w14:textId="41D7850F" w:rsidR="00572890" w:rsidRPr="00274CE9" w:rsidRDefault="0052717A" w:rsidP="00227186">
      <w:pPr>
        <w:pStyle w:val="ListParagraph"/>
        <w:numPr>
          <w:ilvl w:val="0"/>
          <w:numId w:val="11"/>
        </w:numPr>
        <w:rPr>
          <w:sz w:val="24"/>
          <w:szCs w:val="24"/>
        </w:rPr>
      </w:pPr>
      <w:r w:rsidRPr="00274CE9">
        <w:rPr>
          <w:sz w:val="24"/>
          <w:szCs w:val="24"/>
        </w:rPr>
        <w:t>I</w:t>
      </w:r>
      <w:r w:rsidR="00572890" w:rsidRPr="00274CE9">
        <w:rPr>
          <w:sz w:val="24"/>
          <w:szCs w:val="24"/>
        </w:rPr>
        <w:t xml:space="preserve">ndustry priorities </w:t>
      </w:r>
      <w:r w:rsidR="00227186" w:rsidRPr="00274CE9">
        <w:rPr>
          <w:sz w:val="24"/>
          <w:szCs w:val="24"/>
        </w:rPr>
        <w:t>were focused on</w:t>
      </w:r>
      <w:r w:rsidR="00572890" w:rsidRPr="00274CE9">
        <w:rPr>
          <w:sz w:val="24"/>
          <w:szCs w:val="24"/>
        </w:rPr>
        <w:t xml:space="preserve"> biosecurity</w:t>
      </w:r>
      <w:r w:rsidR="00A23290" w:rsidRPr="00274CE9">
        <w:rPr>
          <w:sz w:val="24"/>
          <w:szCs w:val="24"/>
        </w:rPr>
        <w:t xml:space="preserve"> activities that would preserve a </w:t>
      </w:r>
      <w:r w:rsidR="00572890" w:rsidRPr="00274CE9">
        <w:rPr>
          <w:sz w:val="24"/>
          <w:szCs w:val="24"/>
        </w:rPr>
        <w:t>profitable/</w:t>
      </w:r>
      <w:r w:rsidR="00A23290" w:rsidRPr="00274CE9">
        <w:rPr>
          <w:sz w:val="24"/>
          <w:szCs w:val="24"/>
        </w:rPr>
        <w:t xml:space="preserve"> </w:t>
      </w:r>
      <w:r w:rsidR="00572890" w:rsidRPr="00274CE9">
        <w:rPr>
          <w:sz w:val="24"/>
          <w:szCs w:val="24"/>
        </w:rPr>
        <w:t>sustainable industry</w:t>
      </w:r>
      <w:r w:rsidR="00A23290" w:rsidRPr="00274CE9">
        <w:rPr>
          <w:sz w:val="24"/>
          <w:szCs w:val="24"/>
        </w:rPr>
        <w:t xml:space="preserve">. This included activities to increase public awareness and </w:t>
      </w:r>
      <w:r w:rsidRPr="00274CE9">
        <w:rPr>
          <w:sz w:val="24"/>
          <w:szCs w:val="24"/>
        </w:rPr>
        <w:t xml:space="preserve">participation; </w:t>
      </w:r>
      <w:r w:rsidR="00A75EE2" w:rsidRPr="00274CE9">
        <w:rPr>
          <w:sz w:val="24"/>
          <w:szCs w:val="24"/>
        </w:rPr>
        <w:t xml:space="preserve">and on implementing </w:t>
      </w:r>
      <w:r w:rsidRPr="00274CE9">
        <w:rPr>
          <w:sz w:val="24"/>
          <w:szCs w:val="24"/>
        </w:rPr>
        <w:t>cost-sharing</w:t>
      </w:r>
      <w:r w:rsidR="00A75EE2" w:rsidRPr="00274CE9">
        <w:rPr>
          <w:sz w:val="24"/>
          <w:szCs w:val="24"/>
        </w:rPr>
        <w:t>,</w:t>
      </w:r>
      <w:r w:rsidRPr="00274CE9">
        <w:rPr>
          <w:sz w:val="24"/>
          <w:szCs w:val="24"/>
        </w:rPr>
        <w:t xml:space="preserve"> collaboration</w:t>
      </w:r>
      <w:r w:rsidR="00A23290" w:rsidRPr="00274CE9">
        <w:rPr>
          <w:sz w:val="24"/>
          <w:szCs w:val="24"/>
        </w:rPr>
        <w:t xml:space="preserve"> and capacity</w:t>
      </w:r>
      <w:r w:rsidR="00A75EE2" w:rsidRPr="00274CE9">
        <w:rPr>
          <w:sz w:val="24"/>
          <w:szCs w:val="24"/>
        </w:rPr>
        <w:t>-building</w:t>
      </w:r>
      <w:r w:rsidR="00A23290" w:rsidRPr="00274CE9">
        <w:rPr>
          <w:sz w:val="24"/>
          <w:szCs w:val="24"/>
        </w:rPr>
        <w:t>.</w:t>
      </w:r>
    </w:p>
    <w:p w14:paraId="6960E60E" w14:textId="5FDEBEA8" w:rsidR="0052717A" w:rsidRPr="00274CE9" w:rsidRDefault="00A23290" w:rsidP="00227186">
      <w:pPr>
        <w:pStyle w:val="ListParagraph"/>
        <w:numPr>
          <w:ilvl w:val="0"/>
          <w:numId w:val="11"/>
        </w:numPr>
        <w:rPr>
          <w:sz w:val="24"/>
          <w:szCs w:val="24"/>
        </w:rPr>
      </w:pPr>
      <w:r w:rsidRPr="00274CE9">
        <w:rPr>
          <w:sz w:val="24"/>
          <w:szCs w:val="24"/>
        </w:rPr>
        <w:t xml:space="preserve">Government priorities were </w:t>
      </w:r>
      <w:r w:rsidR="0052717A" w:rsidRPr="00274CE9">
        <w:rPr>
          <w:sz w:val="24"/>
          <w:szCs w:val="24"/>
        </w:rPr>
        <w:t xml:space="preserve">targeted toward </w:t>
      </w:r>
      <w:r w:rsidR="003B13F6" w:rsidRPr="00274CE9">
        <w:rPr>
          <w:sz w:val="24"/>
          <w:szCs w:val="24"/>
        </w:rPr>
        <w:t xml:space="preserve">the </w:t>
      </w:r>
      <w:r w:rsidRPr="00274CE9">
        <w:rPr>
          <w:sz w:val="24"/>
          <w:szCs w:val="24"/>
        </w:rPr>
        <w:t>left-hand side of the invasion</w:t>
      </w:r>
      <w:r w:rsidR="0052717A" w:rsidRPr="00274CE9">
        <w:rPr>
          <w:sz w:val="24"/>
          <w:szCs w:val="24"/>
        </w:rPr>
        <w:t xml:space="preserve"> curve (</w:t>
      </w:r>
      <w:r w:rsidRPr="00274CE9">
        <w:rPr>
          <w:sz w:val="24"/>
          <w:szCs w:val="24"/>
        </w:rPr>
        <w:t xml:space="preserve">e.g. </w:t>
      </w:r>
      <w:r w:rsidR="0052717A" w:rsidRPr="00274CE9">
        <w:rPr>
          <w:sz w:val="24"/>
          <w:szCs w:val="24"/>
        </w:rPr>
        <w:t>prevention, emergency response</w:t>
      </w:r>
      <w:r w:rsidRPr="00274CE9">
        <w:rPr>
          <w:sz w:val="24"/>
          <w:szCs w:val="24"/>
        </w:rPr>
        <w:t xml:space="preserve">) but </w:t>
      </w:r>
      <w:r w:rsidR="00CF6985" w:rsidRPr="00274CE9">
        <w:rPr>
          <w:sz w:val="24"/>
          <w:szCs w:val="24"/>
        </w:rPr>
        <w:t>government also commits significant but declining resources to</w:t>
      </w:r>
      <w:r w:rsidRPr="00274CE9">
        <w:rPr>
          <w:sz w:val="24"/>
          <w:szCs w:val="24"/>
        </w:rPr>
        <w:t xml:space="preserve"> biodiversity protection (right-hand side of the invasion curve</w:t>
      </w:r>
      <w:r w:rsidR="0052717A" w:rsidRPr="00274CE9">
        <w:rPr>
          <w:sz w:val="24"/>
          <w:szCs w:val="24"/>
        </w:rPr>
        <w:t>)</w:t>
      </w:r>
      <w:r w:rsidRPr="00274CE9">
        <w:rPr>
          <w:sz w:val="24"/>
          <w:szCs w:val="24"/>
        </w:rPr>
        <w:t>. Deve</w:t>
      </w:r>
      <w:r w:rsidR="0052717A" w:rsidRPr="00274CE9">
        <w:rPr>
          <w:sz w:val="24"/>
          <w:szCs w:val="24"/>
        </w:rPr>
        <w:t xml:space="preserve">loping </w:t>
      </w:r>
      <w:r w:rsidR="00CF6985" w:rsidRPr="00274CE9">
        <w:rPr>
          <w:sz w:val="24"/>
          <w:szCs w:val="24"/>
        </w:rPr>
        <w:t xml:space="preserve">clear policy and decision-making with </w:t>
      </w:r>
      <w:r w:rsidRPr="00274CE9">
        <w:rPr>
          <w:sz w:val="24"/>
          <w:szCs w:val="24"/>
        </w:rPr>
        <w:t xml:space="preserve">overarching </w:t>
      </w:r>
      <w:r w:rsidR="0052717A" w:rsidRPr="00274CE9">
        <w:rPr>
          <w:sz w:val="24"/>
          <w:szCs w:val="24"/>
        </w:rPr>
        <w:t>support systems</w:t>
      </w:r>
      <w:r w:rsidRPr="00274CE9">
        <w:rPr>
          <w:sz w:val="24"/>
          <w:szCs w:val="24"/>
        </w:rPr>
        <w:t xml:space="preserve"> for biosecurity across the curve was also identified as a priority, and targeted stakeholder engagement was seen as an integral part of all activities.</w:t>
      </w:r>
    </w:p>
    <w:p w14:paraId="5065BEB3" w14:textId="6EDE69AF" w:rsidR="006D6C95" w:rsidRDefault="00CF6985" w:rsidP="00227186">
      <w:pPr>
        <w:pStyle w:val="ListParagraph"/>
        <w:numPr>
          <w:ilvl w:val="0"/>
          <w:numId w:val="11"/>
        </w:numPr>
        <w:rPr>
          <w:sz w:val="24"/>
          <w:szCs w:val="24"/>
        </w:rPr>
      </w:pPr>
      <w:r w:rsidRPr="00274CE9">
        <w:rPr>
          <w:sz w:val="24"/>
          <w:szCs w:val="24"/>
        </w:rPr>
        <w:t>C</w:t>
      </w:r>
      <w:r w:rsidR="0052717A" w:rsidRPr="00274CE9">
        <w:rPr>
          <w:sz w:val="24"/>
          <w:szCs w:val="24"/>
        </w:rPr>
        <w:t>ommunit</w:t>
      </w:r>
      <w:r w:rsidRPr="00274CE9">
        <w:rPr>
          <w:sz w:val="24"/>
          <w:szCs w:val="24"/>
        </w:rPr>
        <w:t>y priorities were for</w:t>
      </w:r>
      <w:r w:rsidR="00A23290" w:rsidRPr="00274CE9">
        <w:rPr>
          <w:sz w:val="24"/>
          <w:szCs w:val="24"/>
        </w:rPr>
        <w:t xml:space="preserve"> </w:t>
      </w:r>
      <w:r w:rsidR="0052717A" w:rsidRPr="00274CE9">
        <w:rPr>
          <w:sz w:val="24"/>
          <w:szCs w:val="24"/>
        </w:rPr>
        <w:t>on-ground action</w:t>
      </w:r>
      <w:r w:rsidR="00887695" w:rsidRPr="00274CE9">
        <w:rPr>
          <w:sz w:val="24"/>
          <w:szCs w:val="24"/>
        </w:rPr>
        <w:t xml:space="preserve"> </w:t>
      </w:r>
      <w:r w:rsidR="00A23290" w:rsidRPr="00274CE9">
        <w:rPr>
          <w:sz w:val="24"/>
          <w:szCs w:val="24"/>
        </w:rPr>
        <w:t>targeting established pests (i.e. right-hand side of the</w:t>
      </w:r>
      <w:r w:rsidR="00887695" w:rsidRPr="00274CE9">
        <w:rPr>
          <w:sz w:val="24"/>
          <w:szCs w:val="24"/>
        </w:rPr>
        <w:t xml:space="preserve"> curve)</w:t>
      </w:r>
      <w:r w:rsidR="00A23290" w:rsidRPr="00274CE9">
        <w:rPr>
          <w:sz w:val="24"/>
          <w:szCs w:val="24"/>
        </w:rPr>
        <w:t>, including activities to</w:t>
      </w:r>
      <w:r w:rsidR="0052717A" w:rsidRPr="00274CE9">
        <w:rPr>
          <w:sz w:val="24"/>
          <w:szCs w:val="24"/>
        </w:rPr>
        <w:t xml:space="preserve"> increas</w:t>
      </w:r>
      <w:r w:rsidR="00A23290" w:rsidRPr="00274CE9">
        <w:rPr>
          <w:sz w:val="24"/>
          <w:szCs w:val="24"/>
        </w:rPr>
        <w:t>e</w:t>
      </w:r>
      <w:r w:rsidR="0052717A" w:rsidRPr="00274CE9">
        <w:rPr>
          <w:sz w:val="24"/>
          <w:szCs w:val="24"/>
        </w:rPr>
        <w:t xml:space="preserve"> </w:t>
      </w:r>
      <w:r w:rsidR="00423729" w:rsidRPr="00274CE9">
        <w:rPr>
          <w:sz w:val="24"/>
          <w:szCs w:val="24"/>
        </w:rPr>
        <w:t>collaboration and community understanding.</w:t>
      </w:r>
    </w:p>
    <w:p w14:paraId="78C74B6A" w14:textId="03771241" w:rsidR="00355EC5" w:rsidRDefault="00355EC5" w:rsidP="00013D3E">
      <w:pPr>
        <w:rPr>
          <w:sz w:val="24"/>
          <w:szCs w:val="24"/>
          <w:highlight w:val="yellow"/>
        </w:rPr>
      </w:pPr>
    </w:p>
    <w:p w14:paraId="25500597" w14:textId="508756FE" w:rsidR="00013D3E" w:rsidRDefault="00355EC5" w:rsidP="00013D3E">
      <w:pPr>
        <w:rPr>
          <w:sz w:val="24"/>
          <w:szCs w:val="24"/>
        </w:rPr>
      </w:pPr>
      <w:r>
        <w:rPr>
          <w:noProof/>
          <w:sz w:val="24"/>
          <w:szCs w:val="24"/>
          <w:lang w:eastAsia="en-AU"/>
        </w:rPr>
        <mc:AlternateContent>
          <mc:Choice Requires="wpg">
            <w:drawing>
              <wp:anchor distT="0" distB="0" distL="114300" distR="114300" simplePos="0" relativeHeight="251669504" behindDoc="0" locked="0" layoutInCell="1" allowOverlap="1" wp14:anchorId="3E13A8CC" wp14:editId="5C754042">
                <wp:simplePos x="0" y="0"/>
                <wp:positionH relativeFrom="column">
                  <wp:posOffset>342900</wp:posOffset>
                </wp:positionH>
                <wp:positionV relativeFrom="paragraph">
                  <wp:posOffset>23495</wp:posOffset>
                </wp:positionV>
                <wp:extent cx="5326380" cy="2202180"/>
                <wp:effectExtent l="0" t="0" r="26670" b="26670"/>
                <wp:wrapNone/>
                <wp:docPr id="15" name="Group 15" descr="Graph of the generalised invasion curve identifying government priorities at being at the left hand side of the curve (prevention and eradiciton activities) and at the right hand side of the curve for protection of biodiversity. Industry priorities are toward the left of the curve (prevention, eradication and containment); At the right of the curve, business assets are the priority for businesses and community assets are the priorities for communities."/>
                <wp:cNvGraphicFramePr/>
                <a:graphic xmlns:a="http://schemas.openxmlformats.org/drawingml/2006/main">
                  <a:graphicData uri="http://schemas.microsoft.com/office/word/2010/wordprocessingGroup">
                    <wpg:wgp>
                      <wpg:cNvGrpSpPr/>
                      <wpg:grpSpPr>
                        <a:xfrm>
                          <a:off x="0" y="0"/>
                          <a:ext cx="5326380" cy="2202180"/>
                          <a:chOff x="0" y="0"/>
                          <a:chExt cx="5326380" cy="2202180"/>
                        </a:xfrm>
                      </wpg:grpSpPr>
                      <wps:wsp>
                        <wps:cNvPr id="7" name="Rectangle 7"/>
                        <wps:cNvSpPr/>
                        <wps:spPr>
                          <a:xfrm>
                            <a:off x="3810000" y="1729740"/>
                            <a:ext cx="151638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9B8CD7" w14:textId="658712CB" w:rsidR="000E7053" w:rsidRDefault="000E7053" w:rsidP="00621A94">
                              <w:r>
                                <w:t>Biodiversity (asset) = government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810000" y="1158240"/>
                            <a:ext cx="1516380" cy="47244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4E68980" w14:textId="706F400C" w:rsidR="000E7053" w:rsidRDefault="000E7053" w:rsidP="00621A94">
                              <w:r>
                                <w:t>Community assets = community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Right Arrow 12"/>
                        <wps:cNvSpPr/>
                        <wps:spPr>
                          <a:xfrm>
                            <a:off x="0" y="472440"/>
                            <a:ext cx="1356360" cy="678180"/>
                          </a:xfrm>
                          <a:prstGeom prst="leftRightArrow">
                            <a:avLst>
                              <a:gd name="adj1" fmla="val 70561"/>
                              <a:gd name="adj2" fmla="val 3224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C31BA" w14:textId="7E8AACE3" w:rsidR="000E7053" w:rsidRDefault="000E7053" w:rsidP="00355EC5">
                              <w:pPr>
                                <w:jc w:val="center"/>
                              </w:pPr>
                              <w:r>
                                <w:t>Government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810000" y="586740"/>
                            <a:ext cx="1516380" cy="47244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07E71BE" w14:textId="2A920321" w:rsidR="000E7053" w:rsidRDefault="000E7053" w:rsidP="00355EC5">
                              <w:r>
                                <w:t>Business assets = business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Right Arrow 14"/>
                        <wps:cNvSpPr/>
                        <wps:spPr>
                          <a:xfrm>
                            <a:off x="0" y="0"/>
                            <a:ext cx="2377440" cy="449580"/>
                          </a:xfrm>
                          <a:prstGeom prst="leftRightArrow">
                            <a:avLst>
                              <a:gd name="adj1" fmla="val 70561"/>
                              <a:gd name="adj2" fmla="val 56602"/>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01CFB86" w14:textId="79805A34" w:rsidR="000E7053" w:rsidRDefault="000E7053" w:rsidP="00355EC5">
                              <w:pPr>
                                <w:jc w:val="center"/>
                              </w:pPr>
                              <w:r>
                                <w:t>Industry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26" alt="Graph of the generalised invasion curve identifying government priorities at being at the left hand side of the curve (prevention and eradiciton activities) and at the right hand side of the curve for protection of biodiversity. Industry priorities are toward the left of the curve (prevention, eradication and containment); At the right of the curve, business assets are the priority for businesses and community assets are the priorities for communities." style="position:absolute;margin-left:27pt;margin-top:1.85pt;width:419.4pt;height:173.4pt;z-index:251669504" coordsize="53263,2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">
                <v:rect id="Rectangle 7" o:spid="_x0000_s1027" style="position:absolute;left:38100;top:17297;width:1516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239B8CD7" w14:textId="658712CB" w:rsidR="000E7053" w:rsidRDefault="000E7053" w:rsidP="00621A94">
                        <w:r>
                          <w:t>Biodiversity (asset) = government priority</w:t>
                        </w:r>
                      </w:p>
                    </w:txbxContent>
                  </v:textbox>
                </v:rect>
                <v:rect id="Rectangle 9" o:spid="_x0000_s1028" style="position:absolute;left:38100;top:11582;width:1516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ZcQA&#10;AADaAAAADwAAAGRycy9kb3ducmV2LnhtbESPT2vCQBTE74V+h+UVvDWbepA2uooWhSD24B/E4yP7&#10;zEazb0N2jfHbdwsFj8PM/IaZzHpbi45aXzlW8JGkIIgLpysuFRz2q/dPED4ga6wdk4IHeZhNX18m&#10;mGl35y11u1CKCGGfoQITQpNJ6QtDFn3iGuLonV1rMUTZllK3eI9wW8thmo6kxYrjgsGGvg0V193N&#10;Ktjm3WV+XF7zQuY/p8Xm0a9NapQavPXzMYhAfXiG/9u5VvAFf1fiDZ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PmXEAAAA2gAAAA8AAAAAAAAAAAAAAAAAmAIAAGRycy9k&#10;b3ducmV2LnhtbFBLBQYAAAAABAAEAPUAAACJAwAAAAA=&#10;" fillcolor="#4bacc6 [3208]" strokecolor="#205867 [1608]" strokeweight="2pt">
                  <v:textbox>
                    <w:txbxContent>
                      <w:p w14:paraId="34E68980" w14:textId="706F400C" w:rsidR="000E7053" w:rsidRDefault="000E7053" w:rsidP="00621A94">
                        <w:r>
                          <w:t>Community assets = community priority</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29" type="#_x0000_t69" style="position:absolute;top:4724;width:13563;height:6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axcEA&#10;AADbAAAADwAAAGRycy9kb3ducmV2LnhtbERPTWvCQBC9F/wPywi91Y1BSomuIoJQPRSqIh7H7JgE&#10;s7NpdkzSf98tFHqbx/ucxWpwteqoDZVnA9NJAoo497biwsDpuH15AxUE2WLtmQx8U4DVcvS0wMz6&#10;nj+pO0ihYgiHDA2UIk2mdchLchgmviGO3M23DiXCttC2xT6Gu1qnSfKqHVYcG0psaFNSfj88nIGL&#10;nlYBZX9Nj/1ukNkm/ei+zsY8j4f1HJTQIP/iP/e7jfNT+P0lH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xGsXBAAAA2wAAAA8AAAAAAAAAAAAAAAAAmAIAAGRycy9kb3du&#10;cmV2LnhtbFBLBQYAAAAABAAEAPUAAACGAwAAAAA=&#10;" adj="3482,3179" fillcolor="#4f81bd [3204]" strokecolor="#243f60 [1604]" strokeweight="2pt">
                  <v:textbox>
                    <w:txbxContent>
                      <w:p w14:paraId="6F2C31BA" w14:textId="7E8AACE3" w:rsidR="000E7053" w:rsidRDefault="000E7053" w:rsidP="00355EC5">
                        <w:pPr>
                          <w:jc w:val="center"/>
                        </w:pPr>
                        <w:r>
                          <w:t>Government priority</w:t>
                        </w:r>
                      </w:p>
                    </w:txbxContent>
                  </v:textbox>
                </v:shape>
                <v:rect id="Rectangle 13" o:spid="_x0000_s1030" style="position:absolute;left:38100;top:5867;width:1516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iMr4A&#10;AADbAAAADwAAAGRycy9kb3ducmV2LnhtbERPTWsCMRC9F/wPYYTeNKsFla1RRBAKPVUFPU43092l&#10;m8mSjBr/vSkIvc3jfc5ynVynrhRi69nAZFyAIq68bbk2cDzsRgtQUZAtdp7JwJ0irFeDlyWW1t/4&#10;i657qVUO4ViigUakL7WOVUMO49j3xJn78cGhZBhqbQPecrjr9LQoZtphy7mhwZ62DVW/+4sz8Hlu&#10;0SYJvb7MvyWekqDeWGNeh2nzDkooyb/46f6wef4b/P2SD9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2YojK+AAAA2wAAAA8AAAAAAAAAAAAAAAAAmAIAAGRycy9kb3ducmV2&#10;LnhtbFBLBQYAAAAABAAEAPUAAACDAwAAAAA=&#10;" fillcolor="#8064a2 [3207]" strokecolor="#3f3151 [1607]" strokeweight="2pt">
                  <v:textbox>
                    <w:txbxContent>
                      <w:p w14:paraId="007E71BE" w14:textId="2A920321" w:rsidR="000E7053" w:rsidRDefault="000E7053" w:rsidP="00355EC5">
                        <w:r>
                          <w:t>Business assets = business priority</w:t>
                        </w:r>
                      </w:p>
                    </w:txbxContent>
                  </v:textbox>
                </v:rect>
                <v:shape id="Left-Right Arrow 14" o:spid="_x0000_s1031" type="#_x0000_t69" style="position:absolute;width:23774;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B+MQA&#10;AADbAAAADwAAAGRycy9kb3ducmV2LnhtbERPTWvCQBC9F/oflhF6KXUTkWJTVymC2EsrRg/tbchO&#10;k2B2NmanJvbXdwsFb/N4nzNfDq5RZ+pC7dlAOk5AERfe1lwaOOzXDzNQQZAtNp7JwIUCLBe3N3PM&#10;rO95R+dcShVDOGRooBJpM61DUZHDMPYtceS+fOdQIuxKbTvsY7hr9CRJHrXDmmNDhS2tKiqO+bcz&#10;8PPxnkqxKT95u83v+3T9lL6dxJi70fDyDEpokKv43/1q4/wp/P0SD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AfjEAAAA2wAAAA8AAAAAAAAAAAAAAAAAmAIAAGRycy9k&#10;b3ducmV2LnhtbFBLBQYAAAAABAAEAPUAAACJAwAAAAA=&#10;" adj="2312,3179" fillcolor="#8064a2 [3207]" strokecolor="#3f3151 [1607]" strokeweight="2pt">
                  <v:textbox>
                    <w:txbxContent>
                      <w:p w14:paraId="601CFB86" w14:textId="79805A34" w:rsidR="000E7053" w:rsidRDefault="000E7053" w:rsidP="00355EC5">
                        <w:pPr>
                          <w:jc w:val="center"/>
                        </w:pPr>
                        <w:r>
                          <w:t>Industry priority</w:t>
                        </w:r>
                      </w:p>
                    </w:txbxContent>
                  </v:textbox>
                </v:shape>
              </v:group>
            </w:pict>
          </mc:Fallback>
        </mc:AlternateContent>
      </w:r>
      <w:r w:rsidR="00013D3E" w:rsidRPr="00013D3E">
        <w:rPr>
          <w:noProof/>
          <w:sz w:val="24"/>
          <w:szCs w:val="24"/>
          <w:highlight w:val="yellow"/>
          <w:lang w:eastAsia="en-AU"/>
        </w:rPr>
        <w:drawing>
          <wp:inline distT="0" distB="0" distL="0" distR="0" wp14:anchorId="014864A4" wp14:editId="1A07DBAE">
            <wp:extent cx="5941461" cy="2887980"/>
            <wp:effectExtent l="0" t="0" r="2540" b="7620"/>
            <wp:docPr id="2" name="Picture 4" descr="Graph of the generalised invasion curve identifying government priorities at being at the left hand side of the curve (prevention and eradiciton activities) and at the right hand side of the curve for protection of biodiversity. Industry priorities are toward the left of the curve (prevention, eradication and containment); At the right of the curve, business assets are the priority for businesses and community assets are the priorities for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srcRect t="10441" b="16248"/>
                    <a:stretch/>
                  </pic:blipFill>
                  <pic:spPr bwMode="auto">
                    <a:xfrm>
                      <a:off x="0" y="0"/>
                      <a:ext cx="5943600" cy="2889020"/>
                    </a:xfrm>
                    <a:prstGeom prst="rect">
                      <a:avLst/>
                    </a:prstGeom>
                    <a:ln>
                      <a:noFill/>
                    </a:ln>
                    <a:extLst>
                      <a:ext uri="{53640926-AAD7-44D8-BBD7-CCE9431645EC}">
                        <a14:shadowObscured xmlns:a14="http://schemas.microsoft.com/office/drawing/2010/main"/>
                      </a:ext>
                    </a:extLst>
                  </pic:spPr>
                </pic:pic>
              </a:graphicData>
            </a:graphic>
          </wp:inline>
        </w:drawing>
      </w:r>
      <w:r w:rsidR="00013D3E" w:rsidRPr="00013D3E">
        <w:rPr>
          <w:b/>
          <w:sz w:val="24"/>
          <w:szCs w:val="24"/>
        </w:rPr>
        <w:t xml:space="preserve"> </w:t>
      </w:r>
      <w:proofErr w:type="gramStart"/>
      <w:r w:rsidR="00013D3E" w:rsidRPr="00013D3E">
        <w:rPr>
          <w:b/>
          <w:sz w:val="24"/>
          <w:szCs w:val="24"/>
        </w:rPr>
        <w:t xml:space="preserve">Figure </w:t>
      </w:r>
      <w:r w:rsidR="00621A94">
        <w:rPr>
          <w:b/>
          <w:sz w:val="24"/>
          <w:szCs w:val="24"/>
        </w:rPr>
        <w:t>2</w:t>
      </w:r>
      <w:r w:rsidR="00013D3E" w:rsidRPr="00013D3E">
        <w:rPr>
          <w:b/>
          <w:sz w:val="24"/>
          <w:szCs w:val="24"/>
        </w:rPr>
        <w:t>.</w:t>
      </w:r>
      <w:proofErr w:type="gramEnd"/>
      <w:r w:rsidR="00013D3E" w:rsidRPr="00013D3E">
        <w:rPr>
          <w:b/>
          <w:sz w:val="24"/>
          <w:szCs w:val="24"/>
        </w:rPr>
        <w:t xml:space="preserve"> </w:t>
      </w:r>
      <w:proofErr w:type="gramStart"/>
      <w:r w:rsidR="00013D3E" w:rsidRPr="00013D3E">
        <w:rPr>
          <w:sz w:val="24"/>
          <w:szCs w:val="24"/>
        </w:rPr>
        <w:t xml:space="preserve">The generalised invasion curve </w:t>
      </w:r>
      <w:r w:rsidR="00B23DEA">
        <w:rPr>
          <w:sz w:val="24"/>
          <w:szCs w:val="24"/>
        </w:rPr>
        <w:t>highlighting</w:t>
      </w:r>
      <w:r>
        <w:rPr>
          <w:sz w:val="24"/>
          <w:szCs w:val="24"/>
        </w:rPr>
        <w:t xml:space="preserve"> industry, government and community priorities</w:t>
      </w:r>
      <w:r w:rsidR="00B23DEA">
        <w:rPr>
          <w:sz w:val="24"/>
          <w:szCs w:val="24"/>
        </w:rPr>
        <w:t>, as identified at the Biosecurity Council stakeholder workshop</w:t>
      </w:r>
      <w:r w:rsidR="00013D3E" w:rsidRPr="00013D3E">
        <w:rPr>
          <w:sz w:val="24"/>
          <w:szCs w:val="24"/>
        </w:rPr>
        <w:t>.</w:t>
      </w:r>
      <w:proofErr w:type="gramEnd"/>
    </w:p>
    <w:p w14:paraId="04FDB19C" w14:textId="77777777" w:rsidR="00355EC5" w:rsidRDefault="00355EC5">
      <w:pPr>
        <w:spacing w:line="240" w:lineRule="auto"/>
        <w:jc w:val="center"/>
        <w:rPr>
          <w:sz w:val="24"/>
          <w:szCs w:val="24"/>
        </w:rPr>
      </w:pPr>
      <w:r>
        <w:rPr>
          <w:sz w:val="24"/>
          <w:szCs w:val="24"/>
        </w:rPr>
        <w:br w:type="page"/>
      </w:r>
    </w:p>
    <w:p w14:paraId="21006BA4" w14:textId="5C640AC3" w:rsidR="00B91480" w:rsidRPr="00274CE9" w:rsidRDefault="00DD72DF" w:rsidP="00423729">
      <w:pPr>
        <w:spacing w:before="120"/>
        <w:rPr>
          <w:sz w:val="24"/>
          <w:szCs w:val="24"/>
        </w:rPr>
      </w:pPr>
      <w:r w:rsidRPr="00274CE9">
        <w:rPr>
          <w:sz w:val="24"/>
          <w:szCs w:val="24"/>
        </w:rPr>
        <w:lastRenderedPageBreak/>
        <w:t>C</w:t>
      </w:r>
      <w:r w:rsidR="0074006B" w:rsidRPr="00274CE9">
        <w:rPr>
          <w:sz w:val="24"/>
          <w:szCs w:val="24"/>
        </w:rPr>
        <w:t xml:space="preserve">ollaboration and/or </w:t>
      </w:r>
      <w:r w:rsidR="006D6C95" w:rsidRPr="00274CE9">
        <w:rPr>
          <w:sz w:val="24"/>
          <w:szCs w:val="24"/>
        </w:rPr>
        <w:t xml:space="preserve">engagement </w:t>
      </w:r>
      <w:r w:rsidR="0074006B" w:rsidRPr="00274CE9">
        <w:rPr>
          <w:sz w:val="24"/>
          <w:szCs w:val="24"/>
        </w:rPr>
        <w:t xml:space="preserve">were </w:t>
      </w:r>
      <w:r w:rsidR="003A7FF6" w:rsidRPr="00274CE9">
        <w:rPr>
          <w:sz w:val="24"/>
          <w:szCs w:val="24"/>
        </w:rPr>
        <w:t>considered important by</w:t>
      </w:r>
      <w:r w:rsidR="006D6C95" w:rsidRPr="00274CE9">
        <w:rPr>
          <w:sz w:val="24"/>
          <w:szCs w:val="24"/>
        </w:rPr>
        <w:t xml:space="preserve"> each </w:t>
      </w:r>
      <w:r w:rsidR="0074006B" w:rsidRPr="00274CE9">
        <w:rPr>
          <w:sz w:val="24"/>
          <w:szCs w:val="24"/>
        </w:rPr>
        <w:t xml:space="preserve">of the three </w:t>
      </w:r>
      <w:r w:rsidR="006D6C95" w:rsidRPr="00274CE9">
        <w:rPr>
          <w:sz w:val="24"/>
          <w:szCs w:val="24"/>
        </w:rPr>
        <w:t>sector</w:t>
      </w:r>
      <w:r w:rsidR="0074006B" w:rsidRPr="00274CE9">
        <w:rPr>
          <w:sz w:val="24"/>
          <w:szCs w:val="24"/>
        </w:rPr>
        <w:t>s, and</w:t>
      </w:r>
      <w:r w:rsidRPr="00274CE9">
        <w:rPr>
          <w:rFonts w:cs="Arial"/>
          <w:sz w:val="24"/>
          <w:szCs w:val="24"/>
        </w:rPr>
        <w:t xml:space="preserve"> ongoing education and general awareness-raising for the general community, with regard to biosecurity, was viewed as critical. </w:t>
      </w:r>
      <w:r w:rsidRPr="00274CE9">
        <w:rPr>
          <w:sz w:val="24"/>
          <w:szCs w:val="24"/>
        </w:rPr>
        <w:t>It is interesting to note</w:t>
      </w:r>
      <w:r w:rsidR="0074006B" w:rsidRPr="00274CE9">
        <w:rPr>
          <w:sz w:val="24"/>
          <w:szCs w:val="24"/>
        </w:rPr>
        <w:t xml:space="preserve"> that t</w:t>
      </w:r>
      <w:r w:rsidR="00B91480" w:rsidRPr="00274CE9">
        <w:rPr>
          <w:sz w:val="24"/>
          <w:szCs w:val="24"/>
        </w:rPr>
        <w:t>he</w:t>
      </w:r>
      <w:r w:rsidR="003A7FF6" w:rsidRPr="00274CE9">
        <w:rPr>
          <w:sz w:val="24"/>
          <w:szCs w:val="24"/>
        </w:rPr>
        <w:t xml:space="preserve">se priorities </w:t>
      </w:r>
      <w:r w:rsidR="0074006B" w:rsidRPr="00274CE9">
        <w:rPr>
          <w:sz w:val="24"/>
          <w:szCs w:val="24"/>
        </w:rPr>
        <w:t>are comparable to the ‘roles and responsibilities</w:t>
      </w:r>
      <w:r w:rsidR="00B91480" w:rsidRPr="00274CE9">
        <w:rPr>
          <w:sz w:val="24"/>
          <w:szCs w:val="24"/>
        </w:rPr>
        <w:t xml:space="preserve">’ </w:t>
      </w:r>
      <w:r w:rsidR="0074006B" w:rsidRPr="00274CE9">
        <w:rPr>
          <w:sz w:val="24"/>
          <w:szCs w:val="24"/>
        </w:rPr>
        <w:t xml:space="preserve">identified by stakeholders in </w:t>
      </w:r>
      <w:r w:rsidR="00B91480" w:rsidRPr="00274CE9">
        <w:rPr>
          <w:sz w:val="24"/>
          <w:szCs w:val="24"/>
        </w:rPr>
        <w:t xml:space="preserve">2014 </w:t>
      </w:r>
      <w:r w:rsidR="0074006B" w:rsidRPr="00274CE9">
        <w:rPr>
          <w:sz w:val="24"/>
          <w:szCs w:val="24"/>
        </w:rPr>
        <w:t>(BCWA 2014, pp.13-15</w:t>
      </w:r>
      <w:r w:rsidR="003B13F6" w:rsidRPr="00274CE9">
        <w:rPr>
          <w:rStyle w:val="FootnoteReference"/>
          <w:sz w:val="24"/>
          <w:szCs w:val="24"/>
        </w:rPr>
        <w:footnoteReference w:id="1"/>
      </w:r>
      <w:r w:rsidR="0074006B" w:rsidRPr="00274CE9">
        <w:rPr>
          <w:sz w:val="24"/>
          <w:szCs w:val="24"/>
        </w:rPr>
        <w:t xml:space="preserve">). The only difference </w:t>
      </w:r>
      <w:r w:rsidR="006465C7" w:rsidRPr="00274CE9">
        <w:rPr>
          <w:sz w:val="24"/>
          <w:szCs w:val="24"/>
        </w:rPr>
        <w:t>was that government identified</w:t>
      </w:r>
      <w:r w:rsidR="0074006B" w:rsidRPr="00274CE9">
        <w:rPr>
          <w:sz w:val="24"/>
          <w:szCs w:val="24"/>
        </w:rPr>
        <w:t xml:space="preserve"> </w:t>
      </w:r>
      <w:r w:rsidR="00B91480" w:rsidRPr="00274CE9">
        <w:rPr>
          <w:sz w:val="24"/>
          <w:szCs w:val="24"/>
        </w:rPr>
        <w:t xml:space="preserve">training/extension and compliance </w:t>
      </w:r>
      <w:r w:rsidR="0074006B" w:rsidRPr="00274CE9">
        <w:rPr>
          <w:sz w:val="24"/>
          <w:szCs w:val="24"/>
        </w:rPr>
        <w:t>as a</w:t>
      </w:r>
      <w:r w:rsidR="00B91480" w:rsidRPr="00274CE9">
        <w:rPr>
          <w:sz w:val="24"/>
          <w:szCs w:val="24"/>
        </w:rPr>
        <w:t xml:space="preserve"> key </w:t>
      </w:r>
      <w:r w:rsidR="0074006B" w:rsidRPr="00274CE9">
        <w:rPr>
          <w:sz w:val="24"/>
          <w:szCs w:val="24"/>
        </w:rPr>
        <w:t xml:space="preserve">government </w:t>
      </w:r>
      <w:r w:rsidR="00D436CE" w:rsidRPr="00274CE9">
        <w:rPr>
          <w:sz w:val="24"/>
          <w:szCs w:val="24"/>
        </w:rPr>
        <w:t>role/</w:t>
      </w:r>
      <w:r w:rsidR="006465C7" w:rsidRPr="00274CE9">
        <w:rPr>
          <w:sz w:val="24"/>
          <w:szCs w:val="24"/>
        </w:rPr>
        <w:t>responsibility in the 2014 work</w:t>
      </w:r>
      <w:r w:rsidR="0074006B" w:rsidRPr="00274CE9">
        <w:rPr>
          <w:sz w:val="24"/>
          <w:szCs w:val="24"/>
        </w:rPr>
        <w:t>.</w:t>
      </w:r>
    </w:p>
    <w:p w14:paraId="28F83623" w14:textId="19ADF9FD" w:rsidR="003229F2" w:rsidRPr="00274CE9" w:rsidRDefault="00B91480" w:rsidP="006465C7">
      <w:pPr>
        <w:spacing w:before="120"/>
        <w:rPr>
          <w:sz w:val="24"/>
          <w:szCs w:val="24"/>
        </w:rPr>
      </w:pPr>
      <w:r w:rsidRPr="00274CE9">
        <w:rPr>
          <w:sz w:val="24"/>
          <w:szCs w:val="24"/>
        </w:rPr>
        <w:t xml:space="preserve">For all three </w:t>
      </w:r>
      <w:r w:rsidR="006465C7" w:rsidRPr="00274CE9">
        <w:rPr>
          <w:sz w:val="24"/>
          <w:szCs w:val="24"/>
        </w:rPr>
        <w:t>sectors</w:t>
      </w:r>
      <w:r w:rsidRPr="00274CE9">
        <w:rPr>
          <w:sz w:val="24"/>
          <w:szCs w:val="24"/>
        </w:rPr>
        <w:t xml:space="preserve">, biosecurity investment decisions (i.e. biosecurity action) were influenced by the level of available resources; and all three </w:t>
      </w:r>
      <w:r w:rsidR="006465C7" w:rsidRPr="00274CE9">
        <w:rPr>
          <w:sz w:val="24"/>
          <w:szCs w:val="24"/>
        </w:rPr>
        <w:t>sectors</w:t>
      </w:r>
      <w:r w:rsidRPr="00274CE9">
        <w:rPr>
          <w:sz w:val="24"/>
          <w:szCs w:val="24"/>
        </w:rPr>
        <w:t xml:space="preserve"> </w:t>
      </w:r>
      <w:r w:rsidR="00CC0D35" w:rsidRPr="00274CE9">
        <w:rPr>
          <w:sz w:val="24"/>
          <w:szCs w:val="24"/>
        </w:rPr>
        <w:t xml:space="preserve">noted that funds were (or should be) directed toward </w:t>
      </w:r>
      <w:r w:rsidR="00CF6985" w:rsidRPr="00274CE9">
        <w:rPr>
          <w:sz w:val="24"/>
          <w:szCs w:val="24"/>
        </w:rPr>
        <w:t>higher</w:t>
      </w:r>
      <w:r w:rsidR="00CC0D35" w:rsidRPr="00274CE9">
        <w:rPr>
          <w:sz w:val="24"/>
          <w:szCs w:val="24"/>
        </w:rPr>
        <w:t xml:space="preserve"> priorities</w:t>
      </w:r>
      <w:r w:rsidR="006465C7" w:rsidRPr="00274CE9">
        <w:rPr>
          <w:sz w:val="24"/>
          <w:szCs w:val="24"/>
        </w:rPr>
        <w:t xml:space="preserve">. </w:t>
      </w:r>
      <w:r w:rsidR="008563FD" w:rsidRPr="00274CE9">
        <w:rPr>
          <w:sz w:val="24"/>
          <w:szCs w:val="24"/>
        </w:rPr>
        <w:t>Having said that</w:t>
      </w:r>
      <w:r w:rsidR="0020495C" w:rsidRPr="00274CE9">
        <w:rPr>
          <w:sz w:val="24"/>
          <w:szCs w:val="24"/>
        </w:rPr>
        <w:t xml:space="preserve">, </w:t>
      </w:r>
      <w:r w:rsidR="008563FD" w:rsidRPr="00274CE9">
        <w:rPr>
          <w:sz w:val="24"/>
          <w:szCs w:val="24"/>
        </w:rPr>
        <w:t xml:space="preserve">how the </w:t>
      </w:r>
      <w:r w:rsidR="0020495C" w:rsidRPr="00274CE9">
        <w:rPr>
          <w:sz w:val="24"/>
          <w:szCs w:val="24"/>
        </w:rPr>
        <w:t>priorit</w:t>
      </w:r>
      <w:r w:rsidR="008563FD" w:rsidRPr="00274CE9">
        <w:rPr>
          <w:sz w:val="24"/>
          <w:szCs w:val="24"/>
        </w:rPr>
        <w:t>ies were identified was not</w:t>
      </w:r>
      <w:r w:rsidR="0020495C" w:rsidRPr="00274CE9">
        <w:rPr>
          <w:sz w:val="24"/>
          <w:szCs w:val="24"/>
        </w:rPr>
        <w:t xml:space="preserve"> </w:t>
      </w:r>
      <w:r w:rsidR="00DD72DF" w:rsidRPr="00274CE9">
        <w:rPr>
          <w:sz w:val="24"/>
          <w:szCs w:val="24"/>
        </w:rPr>
        <w:t xml:space="preserve">clearly </w:t>
      </w:r>
      <w:r w:rsidR="00CF6985" w:rsidRPr="00274CE9">
        <w:rPr>
          <w:sz w:val="24"/>
          <w:szCs w:val="24"/>
        </w:rPr>
        <w:t xml:space="preserve">understood or </w:t>
      </w:r>
      <w:r w:rsidR="00DD72DF" w:rsidRPr="00274CE9">
        <w:rPr>
          <w:sz w:val="24"/>
          <w:szCs w:val="24"/>
        </w:rPr>
        <w:t>articulated,</w:t>
      </w:r>
      <w:r w:rsidR="0020495C" w:rsidRPr="00274CE9">
        <w:rPr>
          <w:sz w:val="24"/>
          <w:szCs w:val="24"/>
        </w:rPr>
        <w:t xml:space="preserve"> although</w:t>
      </w:r>
      <w:r w:rsidR="00274CE9">
        <w:rPr>
          <w:sz w:val="24"/>
          <w:szCs w:val="24"/>
        </w:rPr>
        <w:t xml:space="preserve"> the</w:t>
      </w:r>
      <w:r w:rsidR="0020495C" w:rsidRPr="00274CE9">
        <w:rPr>
          <w:sz w:val="24"/>
          <w:szCs w:val="24"/>
        </w:rPr>
        <w:t xml:space="preserve"> </w:t>
      </w:r>
      <w:r w:rsidR="00CF6985" w:rsidRPr="00274CE9">
        <w:rPr>
          <w:sz w:val="24"/>
          <w:szCs w:val="24"/>
        </w:rPr>
        <w:t>workshop discussion</w:t>
      </w:r>
      <w:r w:rsidR="0020495C" w:rsidRPr="00274CE9">
        <w:rPr>
          <w:sz w:val="24"/>
          <w:szCs w:val="24"/>
        </w:rPr>
        <w:t xml:space="preserve"> suggest</w:t>
      </w:r>
      <w:r w:rsidR="003229F2" w:rsidRPr="00274CE9">
        <w:rPr>
          <w:sz w:val="24"/>
          <w:szCs w:val="24"/>
        </w:rPr>
        <w:t>ed</w:t>
      </w:r>
      <w:r w:rsidR="0020495C" w:rsidRPr="00274CE9">
        <w:rPr>
          <w:sz w:val="24"/>
          <w:szCs w:val="24"/>
        </w:rPr>
        <w:t xml:space="preserve"> a</w:t>
      </w:r>
      <w:r w:rsidR="006465C7" w:rsidRPr="00274CE9">
        <w:rPr>
          <w:sz w:val="24"/>
          <w:szCs w:val="24"/>
        </w:rPr>
        <w:t xml:space="preserve"> link between priorities and responsibilities</w:t>
      </w:r>
      <w:r w:rsidR="0020495C" w:rsidRPr="00274CE9">
        <w:rPr>
          <w:sz w:val="24"/>
          <w:szCs w:val="24"/>
        </w:rPr>
        <w:t>—for example, if an area was perceived to be the responsibility of government, then that area was not a priority for the other sectors</w:t>
      </w:r>
      <w:r w:rsidR="003229F2" w:rsidRPr="00274CE9">
        <w:rPr>
          <w:sz w:val="24"/>
          <w:szCs w:val="24"/>
        </w:rPr>
        <w:t>. This seems</w:t>
      </w:r>
      <w:r w:rsidR="008932AF" w:rsidRPr="00274CE9">
        <w:rPr>
          <w:sz w:val="24"/>
          <w:szCs w:val="24"/>
        </w:rPr>
        <w:t xml:space="preserve"> somewhat</w:t>
      </w:r>
      <w:r w:rsidR="003229F2" w:rsidRPr="00274CE9">
        <w:rPr>
          <w:sz w:val="24"/>
          <w:szCs w:val="24"/>
        </w:rPr>
        <w:t xml:space="preserve"> contradictory to </w:t>
      </w:r>
      <w:r w:rsidR="008932AF" w:rsidRPr="00274CE9">
        <w:rPr>
          <w:sz w:val="24"/>
          <w:szCs w:val="24"/>
        </w:rPr>
        <w:t xml:space="preserve">the </w:t>
      </w:r>
      <w:r w:rsidR="003229F2" w:rsidRPr="00274CE9">
        <w:rPr>
          <w:sz w:val="24"/>
          <w:szCs w:val="24"/>
        </w:rPr>
        <w:t>strong support for collaboration shown by all three sectors</w:t>
      </w:r>
      <w:r w:rsidR="0020495C" w:rsidRPr="00274CE9">
        <w:rPr>
          <w:sz w:val="24"/>
          <w:szCs w:val="24"/>
        </w:rPr>
        <w:t>.</w:t>
      </w:r>
    </w:p>
    <w:p w14:paraId="6F35FC79" w14:textId="41A235D1" w:rsidR="00227186" w:rsidRPr="00274CE9" w:rsidRDefault="00CF6985" w:rsidP="00AA1B80">
      <w:pPr>
        <w:spacing w:before="120"/>
        <w:rPr>
          <w:sz w:val="24"/>
          <w:szCs w:val="24"/>
        </w:rPr>
      </w:pPr>
      <w:r w:rsidRPr="00274CE9">
        <w:rPr>
          <w:sz w:val="24"/>
          <w:szCs w:val="24"/>
        </w:rPr>
        <w:t>Stakeholder concerns were a</w:t>
      </w:r>
      <w:r w:rsidR="00CC0D35" w:rsidRPr="00274CE9">
        <w:rPr>
          <w:sz w:val="24"/>
          <w:szCs w:val="24"/>
        </w:rPr>
        <w:t xml:space="preserve">nother factor influencing </w:t>
      </w:r>
      <w:r w:rsidR="0020495C" w:rsidRPr="00274CE9">
        <w:rPr>
          <w:sz w:val="24"/>
          <w:szCs w:val="24"/>
        </w:rPr>
        <w:t xml:space="preserve">investment </w:t>
      </w:r>
      <w:r w:rsidR="00CC0D35" w:rsidRPr="00274CE9">
        <w:rPr>
          <w:sz w:val="24"/>
          <w:szCs w:val="24"/>
        </w:rPr>
        <w:t>decisions/actions</w:t>
      </w:r>
      <w:r w:rsidRPr="00274CE9">
        <w:rPr>
          <w:sz w:val="24"/>
          <w:szCs w:val="24"/>
        </w:rPr>
        <w:t xml:space="preserve"> </w:t>
      </w:r>
      <w:r w:rsidR="00CC0D35" w:rsidRPr="00274CE9">
        <w:rPr>
          <w:sz w:val="24"/>
          <w:szCs w:val="24"/>
        </w:rPr>
        <w:t xml:space="preserve">that was </w:t>
      </w:r>
      <w:r w:rsidR="00E57FD3">
        <w:rPr>
          <w:sz w:val="24"/>
          <w:szCs w:val="24"/>
        </w:rPr>
        <w:t>identified by</w:t>
      </w:r>
      <w:r w:rsidR="00CC0D35" w:rsidRPr="00274CE9">
        <w:rPr>
          <w:sz w:val="24"/>
          <w:szCs w:val="24"/>
        </w:rPr>
        <w:t xml:space="preserve"> all three </w:t>
      </w:r>
      <w:r w:rsidR="00F41A09" w:rsidRPr="00274CE9">
        <w:rPr>
          <w:sz w:val="24"/>
          <w:szCs w:val="24"/>
        </w:rPr>
        <w:t>sectors</w:t>
      </w:r>
      <w:r w:rsidR="00887695" w:rsidRPr="00274CE9">
        <w:rPr>
          <w:sz w:val="24"/>
          <w:szCs w:val="24"/>
        </w:rPr>
        <w:t>.</w:t>
      </w:r>
      <w:r w:rsidR="0020495C" w:rsidRPr="00274CE9">
        <w:rPr>
          <w:sz w:val="24"/>
          <w:szCs w:val="24"/>
        </w:rPr>
        <w:t xml:space="preserve"> This </w:t>
      </w:r>
      <w:r w:rsidR="00DD72DF" w:rsidRPr="00274CE9">
        <w:rPr>
          <w:sz w:val="24"/>
          <w:szCs w:val="24"/>
        </w:rPr>
        <w:t>further increases the potential</w:t>
      </w:r>
      <w:r w:rsidR="0020495C" w:rsidRPr="00274CE9">
        <w:rPr>
          <w:sz w:val="24"/>
          <w:szCs w:val="24"/>
        </w:rPr>
        <w:t xml:space="preserve"> importance of stakeholder awareness/</w:t>
      </w:r>
      <w:r w:rsidR="00DD72DF" w:rsidRPr="00274CE9">
        <w:rPr>
          <w:sz w:val="24"/>
          <w:szCs w:val="24"/>
        </w:rPr>
        <w:t>education</w:t>
      </w:r>
      <w:r w:rsidR="0020495C" w:rsidRPr="00274CE9">
        <w:rPr>
          <w:sz w:val="24"/>
          <w:szCs w:val="24"/>
        </w:rPr>
        <w:t xml:space="preserve"> of biosecurity risk, </w:t>
      </w:r>
      <w:r w:rsidR="00B23DEA">
        <w:rPr>
          <w:sz w:val="24"/>
          <w:szCs w:val="24"/>
        </w:rPr>
        <w:t>as this would</w:t>
      </w:r>
      <w:r w:rsidR="0020495C" w:rsidRPr="00274CE9">
        <w:rPr>
          <w:sz w:val="24"/>
          <w:szCs w:val="24"/>
        </w:rPr>
        <w:t xml:space="preserve"> </w:t>
      </w:r>
      <w:proofErr w:type="spellStart"/>
      <w:r w:rsidR="003229F2" w:rsidRPr="00274CE9">
        <w:rPr>
          <w:sz w:val="24"/>
          <w:szCs w:val="24"/>
        </w:rPr>
        <w:t>i</w:t>
      </w:r>
      <w:proofErr w:type="spellEnd"/>
      <w:r w:rsidR="003229F2" w:rsidRPr="00274CE9">
        <w:rPr>
          <w:sz w:val="24"/>
          <w:szCs w:val="24"/>
        </w:rPr>
        <w:t xml:space="preserve">) </w:t>
      </w:r>
      <w:r w:rsidR="0020495C" w:rsidRPr="00274CE9">
        <w:rPr>
          <w:sz w:val="24"/>
          <w:szCs w:val="24"/>
        </w:rPr>
        <w:t xml:space="preserve">help </w:t>
      </w:r>
      <w:r w:rsidR="00F41A09" w:rsidRPr="00274CE9">
        <w:rPr>
          <w:sz w:val="24"/>
          <w:szCs w:val="24"/>
        </w:rPr>
        <w:t>direct</w:t>
      </w:r>
      <w:r w:rsidR="0020495C" w:rsidRPr="00274CE9">
        <w:rPr>
          <w:sz w:val="24"/>
          <w:szCs w:val="24"/>
        </w:rPr>
        <w:t xml:space="preserve"> </w:t>
      </w:r>
      <w:r w:rsidR="00F41A09" w:rsidRPr="00274CE9">
        <w:rPr>
          <w:sz w:val="24"/>
          <w:szCs w:val="24"/>
        </w:rPr>
        <w:t>biosecurity investment toward the priorities</w:t>
      </w:r>
      <w:r w:rsidR="003229F2" w:rsidRPr="00274CE9">
        <w:rPr>
          <w:sz w:val="24"/>
          <w:szCs w:val="24"/>
        </w:rPr>
        <w:t>; and ii)</w:t>
      </w:r>
      <w:r w:rsidR="00F41A09" w:rsidRPr="00274CE9">
        <w:rPr>
          <w:sz w:val="24"/>
          <w:szCs w:val="24"/>
        </w:rPr>
        <w:t xml:space="preserve"> ensure stakeholders understand why funds are directed toward certain activities and not others.</w:t>
      </w:r>
    </w:p>
    <w:p w14:paraId="7D7EC76F" w14:textId="53935224" w:rsidR="00CC0D35" w:rsidRDefault="00227186" w:rsidP="00227186">
      <w:pPr>
        <w:pStyle w:val="Heading2"/>
      </w:pPr>
      <w:bookmarkStart w:id="10" w:name="_Toc433204412"/>
      <w:r>
        <w:t>Drivers and constraints</w:t>
      </w:r>
      <w:bookmarkEnd w:id="10"/>
    </w:p>
    <w:p w14:paraId="071B70B0" w14:textId="133EACDE" w:rsidR="0026045D" w:rsidRPr="00274CE9" w:rsidRDefault="00A93A73" w:rsidP="00E02304">
      <w:pPr>
        <w:spacing w:before="120"/>
        <w:rPr>
          <w:rFonts w:cs="Arial"/>
          <w:sz w:val="24"/>
          <w:szCs w:val="24"/>
        </w:rPr>
      </w:pPr>
      <w:r w:rsidRPr="00274CE9">
        <w:rPr>
          <w:rFonts w:cs="Arial"/>
          <w:sz w:val="24"/>
          <w:szCs w:val="24"/>
        </w:rPr>
        <w:t xml:space="preserve">For all three sectors, </w:t>
      </w:r>
      <w:r w:rsidR="003A7FF6" w:rsidRPr="00274CE9">
        <w:rPr>
          <w:rFonts w:cs="Arial"/>
          <w:sz w:val="24"/>
          <w:szCs w:val="24"/>
        </w:rPr>
        <w:t>lack of a clear</w:t>
      </w:r>
      <w:r w:rsidR="0026045D" w:rsidRPr="00274CE9">
        <w:rPr>
          <w:rFonts w:cs="Arial"/>
          <w:sz w:val="24"/>
          <w:szCs w:val="24"/>
        </w:rPr>
        <w:t xml:space="preserve"> prioritisation process</w:t>
      </w:r>
      <w:r w:rsidR="005D765C">
        <w:rPr>
          <w:rFonts w:cs="Arial"/>
          <w:sz w:val="24"/>
          <w:szCs w:val="24"/>
        </w:rPr>
        <w:t>—particularly for</w:t>
      </w:r>
      <w:r w:rsidR="005D765C" w:rsidRPr="00274CE9">
        <w:rPr>
          <w:rFonts w:cs="Arial"/>
          <w:sz w:val="24"/>
          <w:szCs w:val="24"/>
        </w:rPr>
        <w:t xml:space="preserve"> the ‘higher level’ assessments that are required in order to prioritise</w:t>
      </w:r>
      <w:r w:rsidR="005D765C">
        <w:rPr>
          <w:rFonts w:cs="Arial"/>
          <w:sz w:val="24"/>
          <w:szCs w:val="24"/>
        </w:rPr>
        <w:t xml:space="preserve"> (</w:t>
      </w:r>
      <w:proofErr w:type="spellStart"/>
      <w:r w:rsidR="005D765C">
        <w:rPr>
          <w:rFonts w:cs="Arial"/>
          <w:sz w:val="24"/>
          <w:szCs w:val="24"/>
        </w:rPr>
        <w:t>i.e</w:t>
      </w:r>
      <w:proofErr w:type="spellEnd"/>
      <w:r w:rsidR="005D765C">
        <w:rPr>
          <w:rFonts w:cs="Arial"/>
          <w:sz w:val="24"/>
          <w:szCs w:val="24"/>
        </w:rPr>
        <w:t xml:space="preserve"> </w:t>
      </w:r>
      <w:r w:rsidR="005D765C" w:rsidRPr="00274CE9">
        <w:rPr>
          <w:rFonts w:cs="Arial"/>
          <w:sz w:val="24"/>
          <w:szCs w:val="24"/>
        </w:rPr>
        <w:t xml:space="preserve">identifying who is responsible </w:t>
      </w:r>
      <w:r w:rsidR="005D765C">
        <w:rPr>
          <w:rFonts w:cs="Arial"/>
          <w:sz w:val="24"/>
          <w:szCs w:val="24"/>
        </w:rPr>
        <w:t>[</w:t>
      </w:r>
      <w:r w:rsidR="005D765C" w:rsidRPr="00274CE9">
        <w:rPr>
          <w:rFonts w:cs="Arial"/>
          <w:sz w:val="24"/>
          <w:szCs w:val="24"/>
        </w:rPr>
        <w:t>e.g. the level of public or private benefits that may accrue; or the lead government agency</w:t>
      </w:r>
      <w:r w:rsidR="005D765C">
        <w:rPr>
          <w:rFonts w:cs="Arial"/>
          <w:sz w:val="24"/>
          <w:szCs w:val="24"/>
        </w:rPr>
        <w:t>]</w:t>
      </w:r>
      <w:r w:rsidR="005D765C" w:rsidRPr="00274CE9">
        <w:rPr>
          <w:rFonts w:cs="Arial"/>
          <w:sz w:val="24"/>
          <w:szCs w:val="24"/>
        </w:rPr>
        <w:t xml:space="preserve"> and determining the level of risk</w:t>
      </w:r>
      <w:r w:rsidR="005D765C">
        <w:rPr>
          <w:rFonts w:cs="Arial"/>
          <w:sz w:val="24"/>
          <w:szCs w:val="24"/>
        </w:rPr>
        <w:t>)—</w:t>
      </w:r>
      <w:r w:rsidR="0026045D" w:rsidRPr="00274CE9">
        <w:rPr>
          <w:rFonts w:cs="Arial"/>
          <w:sz w:val="24"/>
          <w:szCs w:val="24"/>
        </w:rPr>
        <w:t xml:space="preserve">was preventing </w:t>
      </w:r>
      <w:r w:rsidRPr="00274CE9">
        <w:rPr>
          <w:rFonts w:cs="Arial"/>
          <w:sz w:val="24"/>
          <w:szCs w:val="24"/>
        </w:rPr>
        <w:t>effective risk-based decision-making and investment</w:t>
      </w:r>
      <w:r w:rsidR="00E02304" w:rsidRPr="00274CE9">
        <w:rPr>
          <w:rFonts w:cs="Arial"/>
          <w:sz w:val="24"/>
          <w:szCs w:val="24"/>
        </w:rPr>
        <w:t xml:space="preserve">. </w:t>
      </w:r>
      <w:r w:rsidR="005D765C" w:rsidRPr="00274CE9">
        <w:rPr>
          <w:rFonts w:cs="Arial"/>
          <w:sz w:val="24"/>
          <w:szCs w:val="24"/>
        </w:rPr>
        <w:t>There were four key expectations</w:t>
      </w:r>
      <w:r w:rsidR="005D765C">
        <w:rPr>
          <w:rFonts w:cs="Arial"/>
          <w:sz w:val="24"/>
          <w:szCs w:val="24"/>
        </w:rPr>
        <w:t>, in terms of a good process</w:t>
      </w:r>
      <w:r w:rsidR="005D765C" w:rsidRPr="00274CE9">
        <w:rPr>
          <w:rFonts w:cs="Arial"/>
          <w:sz w:val="24"/>
          <w:szCs w:val="24"/>
        </w:rPr>
        <w:t>: awareness, consistency, validity and transparency.</w:t>
      </w:r>
    </w:p>
    <w:p w14:paraId="060A227E" w14:textId="0934E4A6" w:rsidR="0026045D" w:rsidRPr="00274CE9" w:rsidRDefault="0026045D" w:rsidP="0026045D">
      <w:pPr>
        <w:spacing w:before="120"/>
        <w:rPr>
          <w:rFonts w:cs="Arial"/>
          <w:sz w:val="24"/>
          <w:szCs w:val="24"/>
        </w:rPr>
      </w:pPr>
      <w:r w:rsidRPr="00274CE9">
        <w:rPr>
          <w:rFonts w:cs="Arial"/>
          <w:sz w:val="24"/>
          <w:szCs w:val="24"/>
        </w:rPr>
        <w:t>Several other issues were identified as constraining the management of biosecurity risks. These were:</w:t>
      </w:r>
    </w:p>
    <w:p w14:paraId="70A51C20" w14:textId="329FA613" w:rsidR="0026045D" w:rsidRPr="00274CE9" w:rsidRDefault="003A7FF6" w:rsidP="0026045D">
      <w:pPr>
        <w:pStyle w:val="ListParagraph"/>
        <w:numPr>
          <w:ilvl w:val="0"/>
          <w:numId w:val="25"/>
        </w:numPr>
        <w:spacing w:before="120"/>
        <w:rPr>
          <w:rFonts w:cs="Arial"/>
          <w:sz w:val="24"/>
          <w:szCs w:val="24"/>
        </w:rPr>
      </w:pPr>
      <w:r w:rsidRPr="00274CE9">
        <w:rPr>
          <w:rFonts w:cs="Arial"/>
          <w:sz w:val="24"/>
          <w:szCs w:val="24"/>
        </w:rPr>
        <w:t>Limited</w:t>
      </w:r>
      <w:r w:rsidR="0026045D" w:rsidRPr="00274CE9">
        <w:rPr>
          <w:rFonts w:cs="Arial"/>
          <w:sz w:val="24"/>
          <w:szCs w:val="24"/>
        </w:rPr>
        <w:t xml:space="preserve"> financial resources (identified </w:t>
      </w:r>
      <w:r w:rsidR="008932AF" w:rsidRPr="00274CE9">
        <w:rPr>
          <w:rFonts w:cs="Arial"/>
          <w:sz w:val="24"/>
          <w:szCs w:val="24"/>
        </w:rPr>
        <w:t>as a constraint for</w:t>
      </w:r>
      <w:r w:rsidR="0026045D" w:rsidRPr="00274CE9">
        <w:rPr>
          <w:rFonts w:cs="Arial"/>
          <w:sz w:val="24"/>
          <w:szCs w:val="24"/>
        </w:rPr>
        <w:t xml:space="preserve"> industry, government and community sectors)</w:t>
      </w:r>
      <w:r w:rsidR="00046BD8" w:rsidRPr="00274CE9">
        <w:rPr>
          <w:rFonts w:cs="Arial"/>
          <w:sz w:val="24"/>
          <w:szCs w:val="24"/>
        </w:rPr>
        <w:t>.</w:t>
      </w:r>
    </w:p>
    <w:p w14:paraId="22B9B852" w14:textId="152934AC" w:rsidR="00DD3D3E" w:rsidRPr="00274CE9" w:rsidRDefault="002A6017" w:rsidP="007625E4">
      <w:pPr>
        <w:pStyle w:val="ListParagraph"/>
        <w:numPr>
          <w:ilvl w:val="0"/>
          <w:numId w:val="19"/>
        </w:numPr>
        <w:rPr>
          <w:rFonts w:cs="Arial"/>
          <w:sz w:val="24"/>
          <w:szCs w:val="24"/>
        </w:rPr>
      </w:pPr>
      <w:r>
        <w:rPr>
          <w:rFonts w:cs="Arial"/>
          <w:sz w:val="24"/>
          <w:szCs w:val="24"/>
        </w:rPr>
        <w:t>Inadequate</w:t>
      </w:r>
      <w:r w:rsidR="00E02304" w:rsidRPr="00274CE9">
        <w:rPr>
          <w:rFonts w:cs="Arial"/>
          <w:sz w:val="24"/>
          <w:szCs w:val="24"/>
        </w:rPr>
        <w:t xml:space="preserve"> </w:t>
      </w:r>
      <w:r w:rsidR="00DD3D3E" w:rsidRPr="00274CE9">
        <w:rPr>
          <w:rFonts w:cs="Arial"/>
          <w:sz w:val="24"/>
          <w:szCs w:val="24"/>
        </w:rPr>
        <w:t xml:space="preserve">industry/community </w:t>
      </w:r>
      <w:r w:rsidR="00E02304" w:rsidRPr="00274CE9">
        <w:rPr>
          <w:rFonts w:cs="Arial"/>
          <w:sz w:val="24"/>
          <w:szCs w:val="24"/>
        </w:rPr>
        <w:t>awareness</w:t>
      </w:r>
      <w:r w:rsidR="00DD3D3E" w:rsidRPr="00274CE9">
        <w:rPr>
          <w:rFonts w:cs="Arial"/>
          <w:sz w:val="24"/>
          <w:szCs w:val="24"/>
        </w:rPr>
        <w:t xml:space="preserve"> or </w:t>
      </w:r>
      <w:r w:rsidR="00E02304" w:rsidRPr="00274CE9">
        <w:rPr>
          <w:rFonts w:cs="Arial"/>
          <w:sz w:val="24"/>
          <w:szCs w:val="24"/>
        </w:rPr>
        <w:t xml:space="preserve">understanding </w:t>
      </w:r>
      <w:r w:rsidR="00DD3D3E" w:rsidRPr="00274CE9">
        <w:rPr>
          <w:rFonts w:cs="Arial"/>
          <w:sz w:val="24"/>
          <w:szCs w:val="24"/>
        </w:rPr>
        <w:t>(identified</w:t>
      </w:r>
      <w:r w:rsidR="008932AF" w:rsidRPr="00274CE9">
        <w:rPr>
          <w:rFonts w:cs="Arial"/>
          <w:sz w:val="24"/>
          <w:szCs w:val="24"/>
        </w:rPr>
        <w:t xml:space="preserve"> as a constraint</w:t>
      </w:r>
      <w:r w:rsidR="00DD3D3E" w:rsidRPr="00274CE9">
        <w:rPr>
          <w:rFonts w:cs="Arial"/>
          <w:sz w:val="24"/>
          <w:szCs w:val="24"/>
        </w:rPr>
        <w:t xml:space="preserve"> </w:t>
      </w:r>
      <w:r w:rsidR="008932AF" w:rsidRPr="00274CE9">
        <w:rPr>
          <w:rFonts w:cs="Arial"/>
          <w:sz w:val="24"/>
          <w:szCs w:val="24"/>
        </w:rPr>
        <w:t>for</w:t>
      </w:r>
      <w:r w:rsidR="00DD3D3E" w:rsidRPr="00274CE9">
        <w:rPr>
          <w:rFonts w:cs="Arial"/>
          <w:sz w:val="24"/>
          <w:szCs w:val="24"/>
        </w:rPr>
        <w:t xml:space="preserve"> industry, government and community sectors). This was seen to be influenced by various factors such as cultural diversity, apathy and </w:t>
      </w:r>
      <w:r w:rsidR="00013D3E">
        <w:rPr>
          <w:rFonts w:cs="Arial"/>
          <w:sz w:val="24"/>
          <w:szCs w:val="24"/>
        </w:rPr>
        <w:t>insufficient</w:t>
      </w:r>
      <w:r w:rsidR="00DD3D3E" w:rsidRPr="00274CE9">
        <w:rPr>
          <w:rFonts w:cs="Arial"/>
          <w:sz w:val="24"/>
          <w:szCs w:val="24"/>
        </w:rPr>
        <w:t xml:space="preserve"> engagement activities</w:t>
      </w:r>
      <w:r w:rsidR="00046BD8" w:rsidRPr="00274CE9">
        <w:rPr>
          <w:rFonts w:cs="Arial"/>
          <w:sz w:val="24"/>
          <w:szCs w:val="24"/>
        </w:rPr>
        <w:t>.</w:t>
      </w:r>
    </w:p>
    <w:p w14:paraId="76A808BA" w14:textId="77369D76" w:rsidR="004A1047" w:rsidRPr="00274CE9" w:rsidRDefault="00D436CE" w:rsidP="003E125C">
      <w:pPr>
        <w:pStyle w:val="ListParagraph"/>
        <w:numPr>
          <w:ilvl w:val="0"/>
          <w:numId w:val="19"/>
        </w:numPr>
        <w:rPr>
          <w:rFonts w:cs="Arial"/>
          <w:sz w:val="24"/>
          <w:szCs w:val="24"/>
        </w:rPr>
      </w:pPr>
      <w:r w:rsidRPr="00274CE9">
        <w:rPr>
          <w:rFonts w:cs="Arial"/>
          <w:sz w:val="24"/>
          <w:szCs w:val="24"/>
        </w:rPr>
        <w:t>Difficulties</w:t>
      </w:r>
      <w:r w:rsidR="00276E6A" w:rsidRPr="00274CE9">
        <w:rPr>
          <w:rFonts w:cs="Arial"/>
          <w:sz w:val="24"/>
          <w:szCs w:val="24"/>
        </w:rPr>
        <w:t xml:space="preserve"> in </w:t>
      </w:r>
      <w:r w:rsidRPr="00274CE9">
        <w:rPr>
          <w:rFonts w:cs="Arial"/>
          <w:sz w:val="24"/>
          <w:szCs w:val="24"/>
        </w:rPr>
        <w:t xml:space="preserve">securing </w:t>
      </w:r>
      <w:r w:rsidR="004A1047" w:rsidRPr="00274CE9">
        <w:rPr>
          <w:rFonts w:cs="Arial"/>
          <w:sz w:val="24"/>
          <w:szCs w:val="24"/>
        </w:rPr>
        <w:t>government collaboration/support</w:t>
      </w:r>
      <w:r w:rsidR="00DD3D3E" w:rsidRPr="00274CE9">
        <w:rPr>
          <w:rFonts w:cs="Arial"/>
          <w:sz w:val="24"/>
          <w:szCs w:val="24"/>
        </w:rPr>
        <w:t xml:space="preserve"> </w:t>
      </w:r>
      <w:r w:rsidRPr="00274CE9">
        <w:rPr>
          <w:rFonts w:cs="Arial"/>
          <w:sz w:val="24"/>
          <w:szCs w:val="24"/>
        </w:rPr>
        <w:t xml:space="preserve">(identified </w:t>
      </w:r>
      <w:r w:rsidR="008932AF" w:rsidRPr="00274CE9">
        <w:rPr>
          <w:rFonts w:cs="Arial"/>
          <w:sz w:val="24"/>
          <w:szCs w:val="24"/>
        </w:rPr>
        <w:t>as a constraint for</w:t>
      </w:r>
      <w:r w:rsidRPr="00274CE9">
        <w:rPr>
          <w:rFonts w:cs="Arial"/>
          <w:sz w:val="24"/>
          <w:szCs w:val="24"/>
        </w:rPr>
        <w:t xml:space="preserve"> industry)</w:t>
      </w:r>
      <w:r w:rsidR="00046BD8" w:rsidRPr="00274CE9">
        <w:rPr>
          <w:rFonts w:cs="Arial"/>
          <w:sz w:val="24"/>
          <w:szCs w:val="24"/>
        </w:rPr>
        <w:t>.</w:t>
      </w:r>
    </w:p>
    <w:p w14:paraId="14982535" w14:textId="0C8CFA12" w:rsidR="00D436CE" w:rsidRPr="00274CE9" w:rsidRDefault="003A7FF6" w:rsidP="00276E6A">
      <w:pPr>
        <w:pStyle w:val="ListParagraph"/>
        <w:numPr>
          <w:ilvl w:val="0"/>
          <w:numId w:val="19"/>
        </w:numPr>
        <w:rPr>
          <w:rFonts w:cs="Arial"/>
          <w:sz w:val="24"/>
          <w:szCs w:val="24"/>
        </w:rPr>
      </w:pPr>
      <w:r w:rsidRPr="00274CE9">
        <w:rPr>
          <w:rFonts w:cs="Arial"/>
          <w:sz w:val="24"/>
          <w:szCs w:val="24"/>
        </w:rPr>
        <w:lastRenderedPageBreak/>
        <w:t>Lack of c</w:t>
      </w:r>
      <w:r w:rsidR="00D436CE" w:rsidRPr="00274CE9">
        <w:rPr>
          <w:rFonts w:cs="Arial"/>
          <w:sz w:val="24"/>
          <w:szCs w:val="24"/>
        </w:rPr>
        <w:t xml:space="preserve">apacity (identified </w:t>
      </w:r>
      <w:r w:rsidR="008932AF" w:rsidRPr="00274CE9">
        <w:rPr>
          <w:rFonts w:cs="Arial"/>
          <w:sz w:val="24"/>
          <w:szCs w:val="24"/>
        </w:rPr>
        <w:t>as a constraint for</w:t>
      </w:r>
      <w:r w:rsidR="00D436CE" w:rsidRPr="00274CE9">
        <w:rPr>
          <w:rFonts w:cs="Arial"/>
          <w:sz w:val="24"/>
          <w:szCs w:val="24"/>
        </w:rPr>
        <w:t xml:space="preserve"> government)</w:t>
      </w:r>
      <w:r w:rsidR="00046BD8" w:rsidRPr="00274CE9">
        <w:rPr>
          <w:rFonts w:cs="Arial"/>
          <w:sz w:val="24"/>
          <w:szCs w:val="24"/>
        </w:rPr>
        <w:t>.</w:t>
      </w:r>
    </w:p>
    <w:p w14:paraId="7DED0FB1" w14:textId="1E2B813A" w:rsidR="004A1047" w:rsidRPr="00274CE9" w:rsidRDefault="00013D3E" w:rsidP="00276E6A">
      <w:pPr>
        <w:pStyle w:val="ListParagraph"/>
        <w:numPr>
          <w:ilvl w:val="0"/>
          <w:numId w:val="19"/>
        </w:numPr>
        <w:rPr>
          <w:rFonts w:cs="Arial"/>
          <w:sz w:val="24"/>
          <w:szCs w:val="24"/>
        </w:rPr>
      </w:pPr>
      <w:r>
        <w:rPr>
          <w:rFonts w:cs="Arial"/>
          <w:sz w:val="24"/>
          <w:szCs w:val="24"/>
        </w:rPr>
        <w:t>Ineffective s</w:t>
      </w:r>
      <w:r w:rsidR="00D436CE" w:rsidRPr="00274CE9">
        <w:rPr>
          <w:rFonts w:cs="Arial"/>
          <w:sz w:val="24"/>
          <w:szCs w:val="24"/>
        </w:rPr>
        <w:t xml:space="preserve">ystems/processes (identified </w:t>
      </w:r>
      <w:r w:rsidR="008932AF" w:rsidRPr="00274CE9">
        <w:rPr>
          <w:rFonts w:cs="Arial"/>
          <w:sz w:val="24"/>
          <w:szCs w:val="24"/>
        </w:rPr>
        <w:t xml:space="preserve">as a constraint for </w:t>
      </w:r>
      <w:r w:rsidR="00D436CE" w:rsidRPr="00274CE9">
        <w:rPr>
          <w:rFonts w:cs="Arial"/>
          <w:sz w:val="24"/>
          <w:szCs w:val="24"/>
        </w:rPr>
        <w:t>g</w:t>
      </w:r>
      <w:r w:rsidR="004A1047" w:rsidRPr="00274CE9">
        <w:rPr>
          <w:rFonts w:cs="Arial"/>
          <w:sz w:val="24"/>
          <w:szCs w:val="24"/>
        </w:rPr>
        <w:t>overnment</w:t>
      </w:r>
      <w:r w:rsidR="00D436CE" w:rsidRPr="00274CE9">
        <w:rPr>
          <w:rFonts w:cs="Arial"/>
          <w:sz w:val="24"/>
          <w:szCs w:val="24"/>
        </w:rPr>
        <w:t>)</w:t>
      </w:r>
      <w:r w:rsidR="00046BD8" w:rsidRPr="00274CE9">
        <w:rPr>
          <w:rFonts w:cs="Arial"/>
          <w:sz w:val="24"/>
          <w:szCs w:val="24"/>
        </w:rPr>
        <w:t>.</w:t>
      </w:r>
    </w:p>
    <w:p w14:paraId="04D24DF8" w14:textId="31393E87" w:rsidR="00276E6A" w:rsidRPr="00274CE9" w:rsidRDefault="003A7FF6" w:rsidP="00276E6A">
      <w:pPr>
        <w:pStyle w:val="ListParagraph"/>
        <w:numPr>
          <w:ilvl w:val="0"/>
          <w:numId w:val="19"/>
        </w:numPr>
        <w:rPr>
          <w:rFonts w:cs="Arial"/>
          <w:sz w:val="24"/>
          <w:szCs w:val="24"/>
        </w:rPr>
      </w:pPr>
      <w:r w:rsidRPr="00274CE9">
        <w:rPr>
          <w:rFonts w:cs="Arial"/>
          <w:sz w:val="24"/>
          <w:szCs w:val="24"/>
        </w:rPr>
        <w:t>Inadequate</w:t>
      </w:r>
      <w:r w:rsidR="00276E6A" w:rsidRPr="00274CE9">
        <w:rPr>
          <w:rFonts w:cs="Arial"/>
          <w:sz w:val="24"/>
          <w:szCs w:val="24"/>
        </w:rPr>
        <w:t xml:space="preserve"> </w:t>
      </w:r>
      <w:r w:rsidR="00D436CE" w:rsidRPr="00274CE9">
        <w:rPr>
          <w:rFonts w:cs="Arial"/>
          <w:sz w:val="24"/>
          <w:szCs w:val="24"/>
        </w:rPr>
        <w:t xml:space="preserve">community-group </w:t>
      </w:r>
      <w:r w:rsidR="00276E6A" w:rsidRPr="00274CE9">
        <w:rPr>
          <w:rFonts w:cs="Arial"/>
          <w:sz w:val="24"/>
          <w:szCs w:val="24"/>
        </w:rPr>
        <w:t>awareness of sources of assistance</w:t>
      </w:r>
      <w:r w:rsidR="00D436CE" w:rsidRPr="00274CE9">
        <w:rPr>
          <w:rFonts w:cs="Arial"/>
          <w:sz w:val="24"/>
          <w:szCs w:val="24"/>
        </w:rPr>
        <w:t xml:space="preserve"> (identified </w:t>
      </w:r>
      <w:r w:rsidR="008932AF" w:rsidRPr="00274CE9">
        <w:rPr>
          <w:rFonts w:cs="Arial"/>
          <w:sz w:val="24"/>
          <w:szCs w:val="24"/>
        </w:rPr>
        <w:t xml:space="preserve">as a constraint for </w:t>
      </w:r>
      <w:r w:rsidR="00D436CE" w:rsidRPr="00274CE9">
        <w:rPr>
          <w:rFonts w:cs="Arial"/>
          <w:sz w:val="24"/>
          <w:szCs w:val="24"/>
        </w:rPr>
        <w:t>community).</w:t>
      </w:r>
    </w:p>
    <w:p w14:paraId="68DF71EC" w14:textId="121CECCA" w:rsidR="00AA1B80" w:rsidRPr="00274CE9" w:rsidRDefault="00B23DEA" w:rsidP="00074E43">
      <w:pPr>
        <w:spacing w:before="120"/>
        <w:rPr>
          <w:rFonts w:cs="Arial"/>
          <w:sz w:val="24"/>
          <w:szCs w:val="24"/>
        </w:rPr>
      </w:pPr>
      <w:r>
        <w:rPr>
          <w:rFonts w:cs="Arial"/>
          <w:sz w:val="24"/>
          <w:szCs w:val="24"/>
        </w:rPr>
        <w:t>In order to move forward</w:t>
      </w:r>
      <w:r w:rsidR="00D436CE" w:rsidRPr="00274CE9">
        <w:rPr>
          <w:rFonts w:cs="Arial"/>
          <w:sz w:val="24"/>
          <w:szCs w:val="24"/>
        </w:rPr>
        <w:t>, all three sectors believed research and innovation; industry/community awareness and engagement in biosecurity; partnerships/</w:t>
      </w:r>
      <w:r w:rsidR="00480AD7">
        <w:rPr>
          <w:rFonts w:cs="Arial"/>
          <w:sz w:val="24"/>
          <w:szCs w:val="24"/>
        </w:rPr>
        <w:t xml:space="preserve"> </w:t>
      </w:r>
      <w:r w:rsidR="00D436CE" w:rsidRPr="00274CE9">
        <w:rPr>
          <w:rFonts w:cs="Arial"/>
          <w:sz w:val="24"/>
          <w:szCs w:val="24"/>
        </w:rPr>
        <w:t xml:space="preserve">consultation/collaboration; and a </w:t>
      </w:r>
      <w:r w:rsidR="003A7FF6" w:rsidRPr="00274CE9">
        <w:rPr>
          <w:rFonts w:cs="Arial"/>
          <w:sz w:val="24"/>
          <w:szCs w:val="24"/>
        </w:rPr>
        <w:t xml:space="preserve">strong </w:t>
      </w:r>
      <w:r w:rsidR="00D436CE" w:rsidRPr="00274CE9">
        <w:rPr>
          <w:rFonts w:cs="Arial"/>
          <w:sz w:val="24"/>
          <w:szCs w:val="24"/>
        </w:rPr>
        <w:t xml:space="preserve">strategic approach (including planning and improved prioritisation) were </w:t>
      </w:r>
      <w:proofErr w:type="gramStart"/>
      <w:r w:rsidR="00D436CE" w:rsidRPr="00274CE9">
        <w:rPr>
          <w:rFonts w:cs="Arial"/>
          <w:sz w:val="24"/>
          <w:szCs w:val="24"/>
        </w:rPr>
        <w:t>key</w:t>
      </w:r>
      <w:proofErr w:type="gramEnd"/>
      <w:r w:rsidR="00D436CE" w:rsidRPr="00274CE9">
        <w:rPr>
          <w:rFonts w:cs="Arial"/>
          <w:sz w:val="24"/>
          <w:szCs w:val="24"/>
        </w:rPr>
        <w:t>. The current legislation, particula</w:t>
      </w:r>
      <w:r w:rsidR="00480AD7">
        <w:rPr>
          <w:rFonts w:cs="Arial"/>
          <w:sz w:val="24"/>
          <w:szCs w:val="24"/>
        </w:rPr>
        <w:t>rly that relating to community/</w:t>
      </w:r>
      <w:r w:rsidR="00D436CE" w:rsidRPr="00274CE9">
        <w:rPr>
          <w:rFonts w:cs="Arial"/>
          <w:sz w:val="24"/>
          <w:szCs w:val="24"/>
        </w:rPr>
        <w:t xml:space="preserve">industry funding mechanisms, </w:t>
      </w:r>
      <w:r w:rsidR="00074E43" w:rsidRPr="00274CE9">
        <w:rPr>
          <w:rFonts w:cs="Arial"/>
          <w:sz w:val="24"/>
          <w:szCs w:val="24"/>
        </w:rPr>
        <w:t xml:space="preserve">was also believed to be an important enabler. Furthermore, the </w:t>
      </w:r>
      <w:r w:rsidR="00046BD8" w:rsidRPr="00274CE9">
        <w:rPr>
          <w:rFonts w:cs="Arial"/>
          <w:sz w:val="24"/>
          <w:szCs w:val="24"/>
        </w:rPr>
        <w:t>mechanisms</w:t>
      </w:r>
      <w:r w:rsidR="00074E43" w:rsidRPr="00274CE9">
        <w:rPr>
          <w:rFonts w:cs="Arial"/>
          <w:sz w:val="24"/>
          <w:szCs w:val="24"/>
        </w:rPr>
        <w:t xml:space="preserve"> (Industry Funding Schemes, Recognised Biosecurity Groups</w:t>
      </w:r>
      <w:r w:rsidR="006932C8">
        <w:rPr>
          <w:rFonts w:cs="Arial"/>
          <w:sz w:val="24"/>
          <w:szCs w:val="24"/>
        </w:rPr>
        <w:t xml:space="preserve"> [in pastoral zones and where single pests are a focus]</w:t>
      </w:r>
      <w:r w:rsidR="001A0613" w:rsidRPr="00274CE9">
        <w:rPr>
          <w:rFonts w:cs="Arial"/>
          <w:sz w:val="24"/>
          <w:szCs w:val="24"/>
        </w:rPr>
        <w:t xml:space="preserve"> </w:t>
      </w:r>
      <w:r w:rsidR="00074E43" w:rsidRPr="00274CE9">
        <w:rPr>
          <w:rFonts w:cs="Arial"/>
          <w:sz w:val="24"/>
          <w:szCs w:val="24"/>
        </w:rPr>
        <w:t>and Landcare) were believed to be working well, and present opportunities to be capitalised upon.</w:t>
      </w:r>
    </w:p>
    <w:p w14:paraId="35CA0D09" w14:textId="5F6A13D2" w:rsidR="00276E6A" w:rsidRDefault="00276E6A" w:rsidP="00227186">
      <w:pPr>
        <w:pStyle w:val="Heading2"/>
      </w:pPr>
      <w:bookmarkStart w:id="11" w:name="_Toc433204413"/>
      <w:r>
        <w:t xml:space="preserve">Industry / community </w:t>
      </w:r>
      <w:r w:rsidR="004F1DFD">
        <w:t xml:space="preserve">/ government </w:t>
      </w:r>
      <w:r>
        <w:t>position</w:t>
      </w:r>
      <w:bookmarkEnd w:id="11"/>
    </w:p>
    <w:p w14:paraId="7517D4A3" w14:textId="7469C294" w:rsidR="00074E43" w:rsidRPr="00274CE9" w:rsidRDefault="006E5AD9" w:rsidP="004F1DFD">
      <w:pPr>
        <w:spacing w:before="120"/>
        <w:rPr>
          <w:rFonts w:cs="Arial"/>
          <w:sz w:val="24"/>
          <w:szCs w:val="24"/>
        </w:rPr>
      </w:pPr>
      <w:r w:rsidRPr="00274CE9">
        <w:rPr>
          <w:rFonts w:cs="Arial"/>
          <w:sz w:val="24"/>
          <w:szCs w:val="24"/>
        </w:rPr>
        <w:t xml:space="preserve">The following section summarises </w:t>
      </w:r>
      <w:r w:rsidR="00074E43" w:rsidRPr="00274CE9">
        <w:rPr>
          <w:rFonts w:cs="Arial"/>
          <w:sz w:val="24"/>
          <w:szCs w:val="24"/>
        </w:rPr>
        <w:t xml:space="preserve">the workshop discussion and </w:t>
      </w:r>
      <w:r w:rsidR="001A0613" w:rsidRPr="00274CE9">
        <w:rPr>
          <w:rFonts w:cs="Arial"/>
          <w:sz w:val="24"/>
          <w:szCs w:val="24"/>
        </w:rPr>
        <w:t xml:space="preserve">the </w:t>
      </w:r>
      <w:r w:rsidR="00074E43" w:rsidRPr="00274CE9">
        <w:rPr>
          <w:rFonts w:cs="Arial"/>
          <w:sz w:val="24"/>
          <w:szCs w:val="24"/>
        </w:rPr>
        <w:t xml:space="preserve">information </w:t>
      </w:r>
      <w:r w:rsidR="001A0613" w:rsidRPr="00274CE9">
        <w:rPr>
          <w:rFonts w:cs="Arial"/>
          <w:sz w:val="24"/>
          <w:szCs w:val="24"/>
        </w:rPr>
        <w:t xml:space="preserve">it </w:t>
      </w:r>
      <w:r w:rsidR="00074E43" w:rsidRPr="00274CE9">
        <w:rPr>
          <w:rFonts w:cs="Arial"/>
          <w:sz w:val="24"/>
          <w:szCs w:val="24"/>
        </w:rPr>
        <w:t>generated</w:t>
      </w:r>
      <w:r w:rsidRPr="00274CE9">
        <w:rPr>
          <w:rFonts w:cs="Arial"/>
          <w:sz w:val="24"/>
          <w:szCs w:val="24"/>
        </w:rPr>
        <w:t xml:space="preserve"> to build a picture of the current ‘position</w:t>
      </w:r>
      <w:r w:rsidR="00B23DEA">
        <w:rPr>
          <w:rFonts w:cs="Arial"/>
          <w:sz w:val="24"/>
          <w:szCs w:val="24"/>
        </w:rPr>
        <w:t>s</w:t>
      </w:r>
      <w:r w:rsidRPr="00274CE9">
        <w:rPr>
          <w:rFonts w:cs="Arial"/>
          <w:sz w:val="24"/>
          <w:szCs w:val="24"/>
        </w:rPr>
        <w:t>’ of industry, community and government</w:t>
      </w:r>
      <w:r w:rsidR="00CE319D" w:rsidRPr="00274CE9">
        <w:rPr>
          <w:rFonts w:cs="Arial"/>
          <w:sz w:val="24"/>
          <w:szCs w:val="24"/>
        </w:rPr>
        <w:t>.</w:t>
      </w:r>
    </w:p>
    <w:p w14:paraId="60F5B839" w14:textId="3178030D" w:rsidR="006E5AD9" w:rsidRPr="00274CE9" w:rsidRDefault="006E5AD9" w:rsidP="004F1DFD">
      <w:pPr>
        <w:spacing w:before="120"/>
        <w:rPr>
          <w:rFonts w:cs="Arial"/>
          <w:i/>
          <w:sz w:val="24"/>
          <w:szCs w:val="24"/>
        </w:rPr>
      </w:pPr>
      <w:r w:rsidRPr="00274CE9">
        <w:rPr>
          <w:rFonts w:cs="Arial"/>
          <w:i/>
          <w:sz w:val="24"/>
          <w:szCs w:val="24"/>
        </w:rPr>
        <w:t>Industry:</w:t>
      </w:r>
    </w:p>
    <w:p w14:paraId="594132A5" w14:textId="0C7010E6" w:rsidR="00276E6A" w:rsidRPr="00274CE9" w:rsidRDefault="00A0560D" w:rsidP="004F1DFD">
      <w:pPr>
        <w:spacing w:before="120"/>
        <w:rPr>
          <w:rFonts w:cs="Arial"/>
          <w:sz w:val="24"/>
          <w:szCs w:val="24"/>
        </w:rPr>
      </w:pPr>
      <w:r w:rsidRPr="00274CE9">
        <w:rPr>
          <w:rFonts w:cs="Arial"/>
          <w:sz w:val="24"/>
          <w:szCs w:val="24"/>
        </w:rPr>
        <w:t xml:space="preserve">For industry, the driver for biosecurity is to ensure a profitable and sustainable industry. </w:t>
      </w:r>
      <w:r w:rsidR="007C123A" w:rsidRPr="00274CE9">
        <w:rPr>
          <w:rFonts w:cs="Arial"/>
          <w:sz w:val="24"/>
          <w:szCs w:val="24"/>
        </w:rPr>
        <w:t>Industries generally accept their biosecurity responsibilities, and invest in biosecurity to safeguard at both the business and industry level. Industry appears willing to play a greater leadership role into the future</w:t>
      </w:r>
      <w:r w:rsidR="00B32F8A" w:rsidRPr="00274CE9">
        <w:rPr>
          <w:rFonts w:cs="Arial"/>
          <w:sz w:val="24"/>
          <w:szCs w:val="24"/>
        </w:rPr>
        <w:t>; however, different industries are at different stages</w:t>
      </w:r>
      <w:r w:rsidR="007C123A" w:rsidRPr="00274CE9">
        <w:rPr>
          <w:rFonts w:cs="Arial"/>
          <w:sz w:val="24"/>
          <w:szCs w:val="24"/>
        </w:rPr>
        <w:t xml:space="preserve">. </w:t>
      </w:r>
      <w:r w:rsidR="00B32F8A" w:rsidRPr="00274CE9">
        <w:rPr>
          <w:rFonts w:cs="Arial"/>
          <w:sz w:val="24"/>
          <w:szCs w:val="24"/>
        </w:rPr>
        <w:t>For industry to progress</w:t>
      </w:r>
      <w:r w:rsidR="007C123A" w:rsidRPr="00274CE9">
        <w:rPr>
          <w:rFonts w:cs="Arial"/>
          <w:sz w:val="24"/>
          <w:szCs w:val="24"/>
        </w:rPr>
        <w:t xml:space="preserve"> there needs to be a clearer process </w:t>
      </w:r>
      <w:r w:rsidR="00B75C1A" w:rsidRPr="00274CE9">
        <w:rPr>
          <w:rFonts w:cs="Arial"/>
          <w:sz w:val="24"/>
          <w:szCs w:val="24"/>
        </w:rPr>
        <w:t xml:space="preserve">to </w:t>
      </w:r>
      <w:r w:rsidR="00B23DEA">
        <w:rPr>
          <w:rFonts w:cs="Arial"/>
          <w:sz w:val="24"/>
          <w:szCs w:val="24"/>
        </w:rPr>
        <w:t>identify</w:t>
      </w:r>
      <w:r w:rsidR="007C123A" w:rsidRPr="00274CE9">
        <w:rPr>
          <w:rFonts w:cs="Arial"/>
          <w:sz w:val="24"/>
          <w:szCs w:val="24"/>
        </w:rPr>
        <w:t xml:space="preserve"> ‘public’ and ‘private’</w:t>
      </w:r>
      <w:r w:rsidR="00B75C1A" w:rsidRPr="00274CE9">
        <w:rPr>
          <w:rFonts w:cs="Arial"/>
          <w:sz w:val="24"/>
          <w:szCs w:val="24"/>
        </w:rPr>
        <w:t xml:space="preserve"> </w:t>
      </w:r>
      <w:r w:rsidR="003A7FF6" w:rsidRPr="00274CE9">
        <w:rPr>
          <w:rFonts w:cs="Arial"/>
          <w:sz w:val="24"/>
          <w:szCs w:val="24"/>
        </w:rPr>
        <w:t xml:space="preserve">good </w:t>
      </w:r>
      <w:r w:rsidR="00B75C1A" w:rsidRPr="00274CE9">
        <w:rPr>
          <w:rFonts w:cs="Arial"/>
          <w:sz w:val="24"/>
          <w:szCs w:val="24"/>
        </w:rPr>
        <w:t>(and, therefore who is</w:t>
      </w:r>
      <w:r w:rsidR="00B23DEA">
        <w:rPr>
          <w:rFonts w:cs="Arial"/>
          <w:sz w:val="24"/>
          <w:szCs w:val="24"/>
        </w:rPr>
        <w:t xml:space="preserve"> primarily</w:t>
      </w:r>
      <w:r w:rsidR="00B75C1A" w:rsidRPr="00274CE9">
        <w:rPr>
          <w:rFonts w:cs="Arial"/>
          <w:sz w:val="24"/>
          <w:szCs w:val="24"/>
        </w:rPr>
        <w:t xml:space="preserve"> responsible); and what the priorities are. Importantly, </w:t>
      </w:r>
      <w:r w:rsidR="00B32F8A" w:rsidRPr="00274CE9">
        <w:rPr>
          <w:rFonts w:cs="Arial"/>
          <w:sz w:val="24"/>
          <w:szCs w:val="24"/>
        </w:rPr>
        <w:t xml:space="preserve">industry recognises their lack of technical expertise in these areas, so will require </w:t>
      </w:r>
      <w:r w:rsidR="00B75C1A" w:rsidRPr="00274CE9">
        <w:rPr>
          <w:rFonts w:cs="Arial"/>
          <w:sz w:val="24"/>
          <w:szCs w:val="24"/>
        </w:rPr>
        <w:t xml:space="preserve">government </w:t>
      </w:r>
      <w:r w:rsidR="00B32F8A" w:rsidRPr="00274CE9">
        <w:rPr>
          <w:rFonts w:cs="Arial"/>
          <w:sz w:val="24"/>
          <w:szCs w:val="24"/>
        </w:rPr>
        <w:t>assistance and support</w:t>
      </w:r>
      <w:r w:rsidR="00B75C1A" w:rsidRPr="00274CE9">
        <w:rPr>
          <w:rFonts w:cs="Arial"/>
          <w:sz w:val="24"/>
          <w:szCs w:val="24"/>
        </w:rPr>
        <w:t xml:space="preserve">. </w:t>
      </w:r>
      <w:r w:rsidR="00D449D5" w:rsidRPr="00274CE9">
        <w:rPr>
          <w:rFonts w:cs="Arial"/>
          <w:sz w:val="24"/>
          <w:szCs w:val="24"/>
        </w:rPr>
        <w:t>However, priorities will also be influenced by industry needs/concerns. As such, p</w:t>
      </w:r>
      <w:r w:rsidR="006E5AD9" w:rsidRPr="00274CE9">
        <w:rPr>
          <w:rFonts w:cs="Arial"/>
          <w:sz w:val="24"/>
          <w:szCs w:val="24"/>
        </w:rPr>
        <w:t>rocesses</w:t>
      </w:r>
      <w:r w:rsidR="00B75C1A" w:rsidRPr="00274CE9">
        <w:rPr>
          <w:rFonts w:cs="Arial"/>
          <w:sz w:val="24"/>
          <w:szCs w:val="24"/>
        </w:rPr>
        <w:t xml:space="preserve"> to increase industry awareness</w:t>
      </w:r>
      <w:r w:rsidR="00D449D5" w:rsidRPr="00274CE9">
        <w:rPr>
          <w:rFonts w:cs="Arial"/>
          <w:sz w:val="24"/>
          <w:szCs w:val="24"/>
        </w:rPr>
        <w:t>, understanding</w:t>
      </w:r>
      <w:r w:rsidR="00B75C1A" w:rsidRPr="00274CE9">
        <w:rPr>
          <w:rFonts w:cs="Arial"/>
          <w:sz w:val="24"/>
          <w:szCs w:val="24"/>
        </w:rPr>
        <w:t xml:space="preserve"> and engagement in biosecurity will also need to be developed and implemented to facilitate </w:t>
      </w:r>
      <w:r w:rsidR="00D449D5" w:rsidRPr="00274CE9">
        <w:rPr>
          <w:rFonts w:cs="Arial"/>
          <w:sz w:val="24"/>
          <w:szCs w:val="24"/>
        </w:rPr>
        <w:t>success.</w:t>
      </w:r>
      <w:r w:rsidR="009871AE" w:rsidRPr="00274CE9">
        <w:rPr>
          <w:rFonts w:cs="Arial"/>
          <w:sz w:val="24"/>
          <w:szCs w:val="24"/>
        </w:rPr>
        <w:t xml:space="preserve"> Funding mechanisms are already in place for some industry sectors to raise funds to tackle industry-wide biosecurity priorities.</w:t>
      </w:r>
    </w:p>
    <w:p w14:paraId="6673DF08" w14:textId="0DE37E45" w:rsidR="006E5AD9" w:rsidRPr="00274CE9" w:rsidRDefault="006E5AD9" w:rsidP="006E5AD9">
      <w:pPr>
        <w:spacing w:before="120"/>
        <w:rPr>
          <w:rFonts w:cs="Arial"/>
          <w:i/>
          <w:sz w:val="24"/>
          <w:szCs w:val="24"/>
        </w:rPr>
      </w:pPr>
      <w:r w:rsidRPr="00274CE9">
        <w:rPr>
          <w:rFonts w:cs="Arial"/>
          <w:i/>
          <w:sz w:val="24"/>
          <w:szCs w:val="24"/>
        </w:rPr>
        <w:t>Community:</w:t>
      </w:r>
    </w:p>
    <w:p w14:paraId="286E99E4" w14:textId="72F30A30" w:rsidR="00D449D5" w:rsidRPr="00274CE9" w:rsidRDefault="00D449D5" w:rsidP="004F1DFD">
      <w:pPr>
        <w:spacing w:before="120"/>
        <w:rPr>
          <w:rFonts w:cs="Arial"/>
          <w:sz w:val="24"/>
          <w:szCs w:val="24"/>
        </w:rPr>
      </w:pPr>
      <w:r w:rsidRPr="00274CE9">
        <w:rPr>
          <w:rFonts w:cs="Arial"/>
          <w:sz w:val="24"/>
          <w:szCs w:val="24"/>
        </w:rPr>
        <w:t xml:space="preserve">Post-border biosecurity is the priority for community </w:t>
      </w:r>
      <w:r w:rsidR="006A3CF9" w:rsidRPr="00274CE9">
        <w:rPr>
          <w:rFonts w:cs="Arial"/>
          <w:sz w:val="24"/>
          <w:szCs w:val="24"/>
        </w:rPr>
        <w:t>biosecurity action/investment—</w:t>
      </w:r>
      <w:r w:rsidRPr="00274CE9">
        <w:rPr>
          <w:rFonts w:cs="Arial"/>
          <w:sz w:val="24"/>
          <w:szCs w:val="24"/>
        </w:rPr>
        <w:t>particular</w:t>
      </w:r>
      <w:r w:rsidR="00FC09AB" w:rsidRPr="00274CE9">
        <w:rPr>
          <w:rFonts w:cs="Arial"/>
          <w:sz w:val="24"/>
          <w:szCs w:val="24"/>
        </w:rPr>
        <w:t>ly</w:t>
      </w:r>
      <w:r w:rsidRPr="00274CE9">
        <w:rPr>
          <w:rFonts w:cs="Arial"/>
          <w:sz w:val="24"/>
          <w:szCs w:val="24"/>
        </w:rPr>
        <w:t xml:space="preserve"> </w:t>
      </w:r>
      <w:r w:rsidR="006A3CF9" w:rsidRPr="00274CE9">
        <w:rPr>
          <w:rFonts w:cs="Arial"/>
          <w:sz w:val="24"/>
          <w:szCs w:val="24"/>
        </w:rPr>
        <w:t>in relation to controlling</w:t>
      </w:r>
      <w:r w:rsidR="00B63C35" w:rsidRPr="00274CE9">
        <w:rPr>
          <w:rFonts w:cs="Arial"/>
          <w:sz w:val="24"/>
          <w:szCs w:val="24"/>
        </w:rPr>
        <w:t xml:space="preserve"> </w:t>
      </w:r>
      <w:r w:rsidRPr="00274CE9">
        <w:rPr>
          <w:rFonts w:cs="Arial"/>
          <w:sz w:val="24"/>
          <w:szCs w:val="24"/>
        </w:rPr>
        <w:t xml:space="preserve">invasive </w:t>
      </w:r>
      <w:r w:rsidR="00B63C35" w:rsidRPr="00274CE9">
        <w:rPr>
          <w:rFonts w:cs="Arial"/>
          <w:sz w:val="24"/>
          <w:szCs w:val="24"/>
        </w:rPr>
        <w:t>vertebrate</w:t>
      </w:r>
      <w:r w:rsidR="006E5AD9" w:rsidRPr="00274CE9">
        <w:rPr>
          <w:rFonts w:cs="Arial"/>
          <w:sz w:val="24"/>
          <w:szCs w:val="24"/>
        </w:rPr>
        <w:t xml:space="preserve"> pest</w:t>
      </w:r>
      <w:r w:rsidR="00B63C35" w:rsidRPr="00274CE9">
        <w:rPr>
          <w:rFonts w:cs="Arial"/>
          <w:sz w:val="24"/>
          <w:szCs w:val="24"/>
        </w:rPr>
        <w:t>s</w:t>
      </w:r>
      <w:r w:rsidR="006E5AD9" w:rsidRPr="00274CE9">
        <w:rPr>
          <w:rFonts w:cs="Arial"/>
          <w:sz w:val="24"/>
          <w:szCs w:val="24"/>
        </w:rPr>
        <w:t xml:space="preserve"> and</w:t>
      </w:r>
      <w:r w:rsidR="00B63C35" w:rsidRPr="00274CE9">
        <w:rPr>
          <w:rFonts w:cs="Arial"/>
          <w:sz w:val="24"/>
          <w:szCs w:val="24"/>
        </w:rPr>
        <w:t xml:space="preserve"> weeds that are detrimental to the environment/biodiversity and </w:t>
      </w:r>
      <w:r w:rsidR="008932AF" w:rsidRPr="00274CE9">
        <w:rPr>
          <w:rFonts w:cs="Arial"/>
          <w:sz w:val="24"/>
          <w:szCs w:val="24"/>
        </w:rPr>
        <w:t>can</w:t>
      </w:r>
      <w:r w:rsidR="00B63C35" w:rsidRPr="00274CE9">
        <w:rPr>
          <w:rFonts w:cs="Arial"/>
          <w:sz w:val="24"/>
          <w:szCs w:val="24"/>
        </w:rPr>
        <w:t xml:space="preserve"> also impact on industry</w:t>
      </w:r>
      <w:r w:rsidRPr="00274CE9">
        <w:rPr>
          <w:rFonts w:cs="Arial"/>
          <w:sz w:val="24"/>
          <w:szCs w:val="24"/>
        </w:rPr>
        <w:t xml:space="preserve">. There appears to be a willingness within the community to </w:t>
      </w:r>
      <w:r w:rsidR="00B63C35" w:rsidRPr="00274CE9">
        <w:rPr>
          <w:rFonts w:cs="Arial"/>
          <w:sz w:val="24"/>
          <w:szCs w:val="24"/>
        </w:rPr>
        <w:t>take part in</w:t>
      </w:r>
      <w:r w:rsidRPr="00274CE9">
        <w:rPr>
          <w:rFonts w:cs="Arial"/>
          <w:sz w:val="24"/>
          <w:szCs w:val="24"/>
        </w:rPr>
        <w:t xml:space="preserve"> on-ground biosecurity activities (e.g. through volunteer groups). However, there needs to be</w:t>
      </w:r>
      <w:r w:rsidR="00B63C35" w:rsidRPr="00274CE9">
        <w:rPr>
          <w:rFonts w:cs="Arial"/>
          <w:sz w:val="24"/>
          <w:szCs w:val="24"/>
        </w:rPr>
        <w:t xml:space="preserve"> </w:t>
      </w:r>
      <w:r w:rsidR="00D164BD" w:rsidRPr="00274CE9">
        <w:rPr>
          <w:rFonts w:cs="Arial"/>
          <w:sz w:val="24"/>
          <w:szCs w:val="24"/>
        </w:rPr>
        <w:t xml:space="preserve">effective leadership and </w:t>
      </w:r>
      <w:r w:rsidR="00B63C35" w:rsidRPr="00274CE9">
        <w:rPr>
          <w:rFonts w:cs="Arial"/>
          <w:sz w:val="24"/>
          <w:szCs w:val="24"/>
        </w:rPr>
        <w:t>coordination</w:t>
      </w:r>
      <w:r w:rsidR="00D164BD" w:rsidRPr="00274CE9">
        <w:rPr>
          <w:rFonts w:cs="Arial"/>
          <w:sz w:val="24"/>
          <w:szCs w:val="24"/>
        </w:rPr>
        <w:t>,</w:t>
      </w:r>
      <w:r w:rsidR="00B63C35" w:rsidRPr="00274CE9">
        <w:rPr>
          <w:rFonts w:cs="Arial"/>
          <w:sz w:val="24"/>
          <w:szCs w:val="24"/>
        </w:rPr>
        <w:t xml:space="preserve"> and </w:t>
      </w:r>
      <w:r w:rsidR="009871AE" w:rsidRPr="00274CE9">
        <w:rPr>
          <w:rFonts w:cs="Arial"/>
          <w:sz w:val="24"/>
          <w:szCs w:val="24"/>
        </w:rPr>
        <w:t>a greater awareness of the support that is available</w:t>
      </w:r>
      <w:r w:rsidR="00B63C35" w:rsidRPr="00274CE9">
        <w:rPr>
          <w:rFonts w:cs="Arial"/>
          <w:sz w:val="24"/>
          <w:szCs w:val="24"/>
        </w:rPr>
        <w:t xml:space="preserve">. </w:t>
      </w:r>
      <w:r w:rsidR="009871AE" w:rsidRPr="00274CE9">
        <w:rPr>
          <w:rFonts w:cs="Arial"/>
          <w:sz w:val="24"/>
          <w:szCs w:val="24"/>
        </w:rPr>
        <w:t xml:space="preserve">It must be acknowledged that the community cannot address all the post-border issues, so prioritisation </w:t>
      </w:r>
      <w:r w:rsidR="00480AD7">
        <w:rPr>
          <w:rFonts w:cs="Arial"/>
          <w:sz w:val="24"/>
          <w:szCs w:val="24"/>
        </w:rPr>
        <w:t xml:space="preserve">and support </w:t>
      </w:r>
      <w:r w:rsidR="009871AE" w:rsidRPr="00274CE9">
        <w:rPr>
          <w:rFonts w:cs="Arial"/>
          <w:sz w:val="24"/>
          <w:szCs w:val="24"/>
        </w:rPr>
        <w:t xml:space="preserve">is important; however, priorities will be influenced by </w:t>
      </w:r>
      <w:r w:rsidR="009871AE" w:rsidRPr="00274CE9">
        <w:rPr>
          <w:rFonts w:cs="Arial"/>
          <w:sz w:val="24"/>
          <w:szCs w:val="24"/>
        </w:rPr>
        <w:lastRenderedPageBreak/>
        <w:t xml:space="preserve">community concerns. </w:t>
      </w:r>
      <w:r w:rsidR="006E5AD9" w:rsidRPr="00274CE9">
        <w:rPr>
          <w:rFonts w:cs="Arial"/>
          <w:sz w:val="24"/>
          <w:szCs w:val="24"/>
        </w:rPr>
        <w:t>Similar to ‘industry’</w:t>
      </w:r>
      <w:r w:rsidR="00480AD7">
        <w:rPr>
          <w:rFonts w:cs="Arial"/>
          <w:sz w:val="24"/>
          <w:szCs w:val="24"/>
        </w:rPr>
        <w:t xml:space="preserve"> (see</w:t>
      </w:r>
      <w:r w:rsidR="006E5AD9" w:rsidRPr="00274CE9">
        <w:rPr>
          <w:rFonts w:cs="Arial"/>
          <w:sz w:val="24"/>
          <w:szCs w:val="24"/>
        </w:rPr>
        <w:t xml:space="preserve"> above</w:t>
      </w:r>
      <w:r w:rsidR="00480AD7">
        <w:rPr>
          <w:rFonts w:cs="Arial"/>
          <w:sz w:val="24"/>
          <w:szCs w:val="24"/>
        </w:rPr>
        <w:t>)</w:t>
      </w:r>
      <w:r w:rsidR="006E5AD9" w:rsidRPr="00274CE9">
        <w:rPr>
          <w:rFonts w:cs="Arial"/>
          <w:sz w:val="24"/>
          <w:szCs w:val="24"/>
        </w:rPr>
        <w:t>, p</w:t>
      </w:r>
      <w:r w:rsidR="009871AE" w:rsidRPr="00274CE9">
        <w:rPr>
          <w:rFonts w:cs="Arial"/>
          <w:sz w:val="24"/>
          <w:szCs w:val="24"/>
        </w:rPr>
        <w:t>rocesses to increase community awareness, understanding, support and engagement in biosecurity will need to be developed and implemented to facilitate success</w:t>
      </w:r>
      <w:r w:rsidRPr="00274CE9">
        <w:rPr>
          <w:rFonts w:cs="Arial"/>
          <w:sz w:val="24"/>
          <w:szCs w:val="24"/>
        </w:rPr>
        <w:t>.</w:t>
      </w:r>
      <w:r w:rsidR="009871AE" w:rsidRPr="00274CE9">
        <w:rPr>
          <w:rFonts w:cs="Arial"/>
          <w:sz w:val="24"/>
          <w:szCs w:val="24"/>
        </w:rPr>
        <w:t xml:space="preserve"> </w:t>
      </w:r>
      <w:r w:rsidR="00480AD7" w:rsidRPr="00274CE9">
        <w:rPr>
          <w:rFonts w:cs="Arial"/>
          <w:sz w:val="24"/>
          <w:szCs w:val="24"/>
        </w:rPr>
        <w:t xml:space="preserve">Recognised Biosecurity Groups </w:t>
      </w:r>
      <w:r w:rsidR="00480AD7">
        <w:rPr>
          <w:rFonts w:cs="Arial"/>
          <w:sz w:val="24"/>
          <w:szCs w:val="24"/>
        </w:rPr>
        <w:t>(</w:t>
      </w:r>
      <w:r w:rsidR="001A0613" w:rsidRPr="00274CE9">
        <w:rPr>
          <w:rFonts w:cs="Arial"/>
          <w:sz w:val="24"/>
          <w:szCs w:val="24"/>
        </w:rPr>
        <w:t>RBGs</w:t>
      </w:r>
      <w:r w:rsidR="00480AD7">
        <w:rPr>
          <w:rFonts w:cs="Arial"/>
          <w:sz w:val="24"/>
          <w:szCs w:val="24"/>
        </w:rPr>
        <w:t>)</w:t>
      </w:r>
      <w:r w:rsidR="009871AE" w:rsidRPr="00274CE9">
        <w:rPr>
          <w:rFonts w:cs="Arial"/>
          <w:sz w:val="24"/>
          <w:szCs w:val="24"/>
        </w:rPr>
        <w:t xml:space="preserve"> may be used to </w:t>
      </w:r>
      <w:r w:rsidR="00FC09AB" w:rsidRPr="00274CE9">
        <w:rPr>
          <w:rFonts w:cs="Arial"/>
          <w:sz w:val="24"/>
          <w:szCs w:val="24"/>
        </w:rPr>
        <w:t>coordinate</w:t>
      </w:r>
      <w:r w:rsidR="009871AE" w:rsidRPr="00274CE9">
        <w:rPr>
          <w:rFonts w:cs="Arial"/>
          <w:sz w:val="24"/>
          <w:szCs w:val="24"/>
        </w:rPr>
        <w:t xml:space="preserve"> community-based biosecurity.</w:t>
      </w:r>
    </w:p>
    <w:p w14:paraId="6B6FC9A5" w14:textId="016D13AA" w:rsidR="006E5AD9" w:rsidRPr="00274CE9" w:rsidRDefault="006E5AD9" w:rsidP="006E5AD9">
      <w:pPr>
        <w:spacing w:before="120"/>
        <w:rPr>
          <w:rFonts w:cs="Arial"/>
          <w:i/>
          <w:sz w:val="24"/>
          <w:szCs w:val="24"/>
        </w:rPr>
      </w:pPr>
      <w:r w:rsidRPr="00274CE9">
        <w:rPr>
          <w:rFonts w:cs="Arial"/>
          <w:i/>
          <w:sz w:val="24"/>
          <w:szCs w:val="24"/>
        </w:rPr>
        <w:t>Government:</w:t>
      </w:r>
    </w:p>
    <w:p w14:paraId="6B7D740C" w14:textId="153B34A9" w:rsidR="00A0560D" w:rsidRPr="00274CE9" w:rsidRDefault="004F1DFD" w:rsidP="004F1DFD">
      <w:pPr>
        <w:spacing w:before="120"/>
        <w:rPr>
          <w:rFonts w:cs="Arial"/>
          <w:sz w:val="24"/>
          <w:szCs w:val="24"/>
        </w:rPr>
      </w:pPr>
      <w:r w:rsidRPr="00274CE9">
        <w:rPr>
          <w:rFonts w:cs="Arial"/>
          <w:sz w:val="24"/>
          <w:szCs w:val="24"/>
        </w:rPr>
        <w:t xml:space="preserve">Reduced resourcing has led to the need for government to focus its resources </w:t>
      </w:r>
      <w:r w:rsidR="00B32F8A" w:rsidRPr="00274CE9">
        <w:rPr>
          <w:rFonts w:cs="Arial"/>
          <w:sz w:val="24"/>
          <w:szCs w:val="24"/>
        </w:rPr>
        <w:t>on what it has identified as</w:t>
      </w:r>
      <w:r w:rsidRPr="00274CE9">
        <w:rPr>
          <w:rFonts w:cs="Arial"/>
          <w:sz w:val="24"/>
          <w:szCs w:val="24"/>
        </w:rPr>
        <w:t xml:space="preserve"> priority areas—prevention and emergency respon</w:t>
      </w:r>
      <w:r w:rsidR="006E5AD9" w:rsidRPr="00274CE9">
        <w:rPr>
          <w:rFonts w:cs="Arial"/>
          <w:sz w:val="24"/>
          <w:szCs w:val="24"/>
        </w:rPr>
        <w:t>se; developing support systems/structures/</w:t>
      </w:r>
      <w:r w:rsidRPr="00274CE9">
        <w:rPr>
          <w:rFonts w:cs="Arial"/>
          <w:sz w:val="24"/>
          <w:szCs w:val="24"/>
        </w:rPr>
        <w:t>processes</w:t>
      </w:r>
      <w:r w:rsidR="006E5AD9" w:rsidRPr="00274CE9">
        <w:rPr>
          <w:rFonts w:cs="Arial"/>
          <w:sz w:val="24"/>
          <w:szCs w:val="24"/>
        </w:rPr>
        <w:t xml:space="preserve"> and policy</w:t>
      </w:r>
      <w:r w:rsidR="00046BD8" w:rsidRPr="00274CE9">
        <w:rPr>
          <w:rFonts w:cs="Arial"/>
          <w:sz w:val="24"/>
          <w:szCs w:val="24"/>
        </w:rPr>
        <w:t xml:space="preserve"> </w:t>
      </w:r>
      <w:r w:rsidR="00557679" w:rsidRPr="00274CE9">
        <w:rPr>
          <w:rFonts w:cs="Arial"/>
          <w:sz w:val="24"/>
          <w:szCs w:val="24"/>
        </w:rPr>
        <w:t>to facilitate biosecurity across the curve</w:t>
      </w:r>
      <w:r w:rsidRPr="00274CE9">
        <w:rPr>
          <w:rFonts w:cs="Arial"/>
          <w:sz w:val="24"/>
          <w:szCs w:val="24"/>
        </w:rPr>
        <w:t>; and biodiversity protection. However, inconsistent approaches to prioritisation and lack of agreement on agency responsibilities are constraining progress, as is reduced capacity and inadequate systems/processes.</w:t>
      </w:r>
      <w:r w:rsidR="00FC09AB" w:rsidRPr="00274CE9">
        <w:rPr>
          <w:rFonts w:cs="Arial"/>
          <w:sz w:val="24"/>
          <w:szCs w:val="24"/>
        </w:rPr>
        <w:t xml:space="preserve"> Going forward, government see increased industry/community awareness and participation in biosecurity</w:t>
      </w:r>
      <w:r w:rsidR="00912466" w:rsidRPr="00274CE9">
        <w:rPr>
          <w:rFonts w:cs="Arial"/>
          <w:sz w:val="24"/>
          <w:szCs w:val="24"/>
        </w:rPr>
        <w:t xml:space="preserve"> as vital</w:t>
      </w:r>
      <w:r w:rsidR="00FC09AB" w:rsidRPr="00274CE9">
        <w:rPr>
          <w:rFonts w:cs="Arial"/>
          <w:sz w:val="24"/>
          <w:szCs w:val="24"/>
        </w:rPr>
        <w:t>, noting that the funding mechanisms</w:t>
      </w:r>
      <w:r w:rsidR="006E5AD9" w:rsidRPr="00274CE9">
        <w:rPr>
          <w:rFonts w:cs="Arial"/>
          <w:sz w:val="24"/>
          <w:szCs w:val="24"/>
        </w:rPr>
        <w:t xml:space="preserve"> and </w:t>
      </w:r>
      <w:r w:rsidR="00FC09AB" w:rsidRPr="00274CE9">
        <w:rPr>
          <w:rFonts w:cs="Arial"/>
          <w:sz w:val="24"/>
          <w:szCs w:val="24"/>
        </w:rPr>
        <w:t xml:space="preserve">legislation </w:t>
      </w:r>
      <w:r w:rsidR="00912466" w:rsidRPr="00274CE9">
        <w:rPr>
          <w:rFonts w:cs="Arial"/>
          <w:sz w:val="24"/>
          <w:szCs w:val="24"/>
        </w:rPr>
        <w:t>are important</w:t>
      </w:r>
      <w:r w:rsidR="00FC09AB" w:rsidRPr="00274CE9">
        <w:rPr>
          <w:rFonts w:cs="Arial"/>
          <w:sz w:val="24"/>
          <w:szCs w:val="24"/>
        </w:rPr>
        <w:t xml:space="preserve"> enablers of this (although lack of an environmental biosecurity funding mechan</w:t>
      </w:r>
      <w:r w:rsidR="00912466" w:rsidRPr="00274CE9">
        <w:rPr>
          <w:rFonts w:cs="Arial"/>
          <w:sz w:val="24"/>
          <w:szCs w:val="24"/>
        </w:rPr>
        <w:t xml:space="preserve">ism was seen as a </w:t>
      </w:r>
      <w:r w:rsidR="006E5AD9" w:rsidRPr="00274CE9">
        <w:rPr>
          <w:rFonts w:cs="Arial"/>
          <w:sz w:val="24"/>
          <w:szCs w:val="24"/>
        </w:rPr>
        <w:t>constraint), and partnerships/</w:t>
      </w:r>
      <w:r w:rsidR="00FC09AB" w:rsidRPr="00274CE9">
        <w:rPr>
          <w:rFonts w:cs="Arial"/>
          <w:sz w:val="24"/>
          <w:szCs w:val="24"/>
        </w:rPr>
        <w:t>collaboration to be key.</w:t>
      </w:r>
    </w:p>
    <w:p w14:paraId="341B3979" w14:textId="143B00CA" w:rsidR="00CE319D" w:rsidRPr="00274CE9" w:rsidRDefault="00CE319D" w:rsidP="004F1DFD">
      <w:pPr>
        <w:spacing w:before="120"/>
        <w:rPr>
          <w:rFonts w:cs="Arial"/>
          <w:i/>
          <w:sz w:val="24"/>
          <w:szCs w:val="24"/>
        </w:rPr>
      </w:pPr>
      <w:r w:rsidRPr="00274CE9">
        <w:rPr>
          <w:rFonts w:cs="Arial"/>
          <w:i/>
          <w:sz w:val="24"/>
          <w:szCs w:val="24"/>
        </w:rPr>
        <w:t>How can the sectors cooperate in decision-making and joint effort?</w:t>
      </w:r>
    </w:p>
    <w:p w14:paraId="137896B9" w14:textId="56ACF60B" w:rsidR="00CE319D" w:rsidRPr="00274CE9" w:rsidRDefault="00CE319D" w:rsidP="004F1DFD">
      <w:pPr>
        <w:spacing w:before="120"/>
        <w:rPr>
          <w:rFonts w:cs="Arial"/>
          <w:sz w:val="24"/>
          <w:szCs w:val="24"/>
        </w:rPr>
      </w:pPr>
      <w:r w:rsidRPr="00274CE9">
        <w:rPr>
          <w:rFonts w:cs="Arial"/>
          <w:sz w:val="24"/>
          <w:szCs w:val="24"/>
        </w:rPr>
        <w:t>The timing seems to be right for genuine cooperation between industry, government and community. Industry and community appear willing and eager to take a greater leadership role; and government recognise that increased industry and community participation in biosecurity is essential. Furthermore, there is a shared understanding across the sectors that biosecurity investment and action needs to be targeted toward the priority areas.</w:t>
      </w:r>
    </w:p>
    <w:p w14:paraId="755E1E69" w14:textId="07841D11" w:rsidR="00CE319D" w:rsidRPr="00274CE9" w:rsidRDefault="00CE319D" w:rsidP="004F1DFD">
      <w:pPr>
        <w:spacing w:before="120"/>
        <w:rPr>
          <w:rFonts w:cs="Arial"/>
          <w:sz w:val="24"/>
          <w:szCs w:val="24"/>
        </w:rPr>
      </w:pPr>
      <w:r w:rsidRPr="00274CE9">
        <w:rPr>
          <w:rFonts w:cs="Arial"/>
          <w:sz w:val="24"/>
          <w:szCs w:val="24"/>
        </w:rPr>
        <w:t xml:space="preserve">The challenge lays in identifying, developing and implementing overarching (or underpinning) </w:t>
      </w:r>
      <w:r w:rsidR="001A0613" w:rsidRPr="00274CE9">
        <w:rPr>
          <w:rFonts w:cs="Arial"/>
          <w:sz w:val="24"/>
          <w:szCs w:val="24"/>
        </w:rPr>
        <w:t xml:space="preserve">principles, </w:t>
      </w:r>
      <w:r w:rsidRPr="00274CE9">
        <w:rPr>
          <w:rFonts w:cs="Arial"/>
          <w:sz w:val="24"/>
          <w:szCs w:val="24"/>
        </w:rPr>
        <w:t xml:space="preserve">frameworks, processes, </w:t>
      </w:r>
      <w:r w:rsidR="001A0613" w:rsidRPr="00274CE9">
        <w:rPr>
          <w:rFonts w:cs="Arial"/>
          <w:sz w:val="24"/>
          <w:szCs w:val="24"/>
        </w:rPr>
        <w:t xml:space="preserve">systems, </w:t>
      </w:r>
      <w:r w:rsidRPr="00274CE9">
        <w:rPr>
          <w:rFonts w:cs="Arial"/>
          <w:sz w:val="24"/>
          <w:szCs w:val="24"/>
        </w:rPr>
        <w:t>policies</w:t>
      </w:r>
      <w:r w:rsidR="00D164BD" w:rsidRPr="00274CE9">
        <w:rPr>
          <w:rFonts w:cs="Arial"/>
          <w:sz w:val="24"/>
          <w:szCs w:val="24"/>
        </w:rPr>
        <w:t xml:space="preserve"> and</w:t>
      </w:r>
      <w:r w:rsidR="00557679" w:rsidRPr="00274CE9">
        <w:rPr>
          <w:rFonts w:cs="Arial"/>
          <w:sz w:val="24"/>
          <w:szCs w:val="24"/>
        </w:rPr>
        <w:t xml:space="preserve"> agreements</w:t>
      </w:r>
      <w:r w:rsidRPr="00274CE9">
        <w:rPr>
          <w:rFonts w:cs="Arial"/>
          <w:sz w:val="24"/>
          <w:szCs w:val="24"/>
        </w:rPr>
        <w:t xml:space="preserve"> </w:t>
      </w:r>
      <w:r w:rsidR="00D164BD" w:rsidRPr="00274CE9">
        <w:rPr>
          <w:rFonts w:cs="Arial"/>
          <w:sz w:val="24"/>
          <w:szCs w:val="24"/>
        </w:rPr>
        <w:t>to achieve this</w:t>
      </w:r>
      <w:r w:rsidRPr="00274CE9">
        <w:rPr>
          <w:rFonts w:cs="Arial"/>
          <w:sz w:val="24"/>
          <w:szCs w:val="24"/>
        </w:rPr>
        <w:t>.</w:t>
      </w:r>
      <w:r w:rsidR="001A0613" w:rsidRPr="00274CE9">
        <w:rPr>
          <w:rFonts w:cs="Arial"/>
          <w:sz w:val="24"/>
          <w:szCs w:val="24"/>
        </w:rPr>
        <w:t xml:space="preserve"> This includes areas such as identifying biosecurity roles/responsibilities; prioritisation; and rigorous risk analyses.</w:t>
      </w:r>
    </w:p>
    <w:p w14:paraId="0B774153" w14:textId="64E8462F" w:rsidR="00F41A09" w:rsidRPr="00274CE9" w:rsidRDefault="001A0613" w:rsidP="00F41A09">
      <w:pPr>
        <w:spacing w:before="120"/>
        <w:rPr>
          <w:rFonts w:cs="Arial"/>
          <w:sz w:val="24"/>
          <w:szCs w:val="24"/>
        </w:rPr>
      </w:pPr>
      <w:r w:rsidRPr="00274CE9">
        <w:rPr>
          <w:rFonts w:cs="Arial"/>
          <w:sz w:val="24"/>
          <w:szCs w:val="24"/>
        </w:rPr>
        <w:t>In addition to the above, f</w:t>
      </w:r>
      <w:r w:rsidR="00F41A09" w:rsidRPr="00274CE9">
        <w:rPr>
          <w:rFonts w:cs="Arial"/>
          <w:sz w:val="24"/>
          <w:szCs w:val="24"/>
        </w:rPr>
        <w:t>ive key areas were identified by the evaluation respondents as the next steps toward strengthening the WA biosecurity system:</w:t>
      </w:r>
    </w:p>
    <w:p w14:paraId="7911BAEE" w14:textId="56A4BD4A" w:rsidR="00F41A09" w:rsidRPr="00274CE9" w:rsidRDefault="00F41A09" w:rsidP="00F41A09">
      <w:pPr>
        <w:pStyle w:val="ListParagraph"/>
        <w:numPr>
          <w:ilvl w:val="0"/>
          <w:numId w:val="11"/>
        </w:numPr>
        <w:spacing w:before="120"/>
        <w:rPr>
          <w:rFonts w:cs="Arial"/>
          <w:sz w:val="24"/>
          <w:szCs w:val="24"/>
        </w:rPr>
      </w:pPr>
      <w:r w:rsidRPr="00274CE9">
        <w:rPr>
          <w:rFonts w:cs="Arial"/>
          <w:sz w:val="24"/>
          <w:szCs w:val="24"/>
        </w:rPr>
        <w:t>Increasing the biosecurity awareness of all cit</w:t>
      </w:r>
      <w:r w:rsidR="001A0613" w:rsidRPr="00274CE9">
        <w:rPr>
          <w:rFonts w:cs="Arial"/>
          <w:sz w:val="24"/>
          <w:szCs w:val="24"/>
        </w:rPr>
        <w:t>izens and visitors to the state</w:t>
      </w:r>
    </w:p>
    <w:p w14:paraId="383D3BFD" w14:textId="2B89F24D" w:rsidR="00F41A09" w:rsidRPr="00274CE9" w:rsidRDefault="00F41A09" w:rsidP="00F41A09">
      <w:pPr>
        <w:pStyle w:val="ListParagraph"/>
        <w:numPr>
          <w:ilvl w:val="0"/>
          <w:numId w:val="11"/>
        </w:numPr>
        <w:spacing w:before="120"/>
        <w:rPr>
          <w:rFonts w:cs="Arial"/>
          <w:sz w:val="24"/>
          <w:szCs w:val="24"/>
        </w:rPr>
      </w:pPr>
      <w:r w:rsidRPr="00274CE9">
        <w:rPr>
          <w:rFonts w:cs="Arial"/>
          <w:sz w:val="24"/>
          <w:szCs w:val="24"/>
        </w:rPr>
        <w:t>Building commitment and collaboration (in engagement, planning and delivery), including communi</w:t>
      </w:r>
      <w:r w:rsidR="001A0613" w:rsidRPr="00274CE9">
        <w:rPr>
          <w:rFonts w:cs="Arial"/>
          <w:sz w:val="24"/>
          <w:szCs w:val="24"/>
        </w:rPr>
        <w:t>ty input at the ‘strategic’ end</w:t>
      </w:r>
    </w:p>
    <w:p w14:paraId="20333899" w14:textId="2506A982" w:rsidR="00F41A09" w:rsidRPr="00274CE9" w:rsidRDefault="00F41A09" w:rsidP="00F41A09">
      <w:pPr>
        <w:pStyle w:val="ListParagraph"/>
        <w:numPr>
          <w:ilvl w:val="0"/>
          <w:numId w:val="11"/>
        </w:numPr>
        <w:spacing w:before="120"/>
        <w:rPr>
          <w:rFonts w:cs="Arial"/>
          <w:sz w:val="24"/>
          <w:szCs w:val="24"/>
        </w:rPr>
      </w:pPr>
      <w:r w:rsidRPr="00274CE9">
        <w:rPr>
          <w:rFonts w:cs="Arial"/>
          <w:sz w:val="24"/>
          <w:szCs w:val="24"/>
        </w:rPr>
        <w:t>Increasing the focus on border biosecur</w:t>
      </w:r>
      <w:r w:rsidR="001A0613" w:rsidRPr="00274CE9">
        <w:rPr>
          <w:rFonts w:cs="Arial"/>
          <w:sz w:val="24"/>
          <w:szCs w:val="24"/>
        </w:rPr>
        <w:t>ity</w:t>
      </w:r>
    </w:p>
    <w:p w14:paraId="680EF755" w14:textId="26240F7A" w:rsidR="00F41A09" w:rsidRPr="00274CE9" w:rsidRDefault="00F41A09" w:rsidP="00F41A09">
      <w:pPr>
        <w:pStyle w:val="ListParagraph"/>
        <w:numPr>
          <w:ilvl w:val="0"/>
          <w:numId w:val="11"/>
        </w:numPr>
        <w:spacing w:before="120"/>
        <w:rPr>
          <w:rFonts w:cs="Arial"/>
          <w:sz w:val="24"/>
          <w:szCs w:val="24"/>
        </w:rPr>
      </w:pPr>
      <w:r w:rsidRPr="00274CE9">
        <w:rPr>
          <w:rFonts w:cs="Arial"/>
          <w:sz w:val="24"/>
          <w:szCs w:val="24"/>
        </w:rPr>
        <w:t xml:space="preserve">Facilitating the development of </w:t>
      </w:r>
      <w:r w:rsidR="00B23DEA">
        <w:rPr>
          <w:rFonts w:cs="Arial"/>
          <w:sz w:val="24"/>
          <w:szCs w:val="24"/>
        </w:rPr>
        <w:t>functional RBGs</w:t>
      </w:r>
    </w:p>
    <w:p w14:paraId="21336919" w14:textId="729E80C3" w:rsidR="00F41A09" w:rsidRPr="00274CE9" w:rsidRDefault="00F41A09" w:rsidP="00F41A09">
      <w:pPr>
        <w:pStyle w:val="ListParagraph"/>
        <w:numPr>
          <w:ilvl w:val="0"/>
          <w:numId w:val="11"/>
        </w:numPr>
        <w:spacing w:before="120"/>
        <w:rPr>
          <w:rFonts w:cs="Arial"/>
          <w:sz w:val="24"/>
          <w:szCs w:val="24"/>
        </w:rPr>
      </w:pPr>
      <w:r w:rsidRPr="00274CE9">
        <w:rPr>
          <w:rFonts w:cs="Arial"/>
          <w:sz w:val="24"/>
          <w:szCs w:val="24"/>
        </w:rPr>
        <w:t>Developing clear policy</w:t>
      </w:r>
      <w:r w:rsidR="001A0613" w:rsidRPr="00274CE9">
        <w:rPr>
          <w:rFonts w:cs="Arial"/>
          <w:sz w:val="24"/>
          <w:szCs w:val="24"/>
        </w:rPr>
        <w:t xml:space="preserve"> </w:t>
      </w:r>
      <w:r w:rsidR="00B23DEA">
        <w:rPr>
          <w:rFonts w:cs="Arial"/>
          <w:sz w:val="24"/>
          <w:szCs w:val="24"/>
        </w:rPr>
        <w:t>around</w:t>
      </w:r>
      <w:r w:rsidRPr="00274CE9">
        <w:rPr>
          <w:rFonts w:cs="Arial"/>
          <w:sz w:val="24"/>
          <w:szCs w:val="24"/>
        </w:rPr>
        <w:t xml:space="preserve"> roles and responsibilities (including formal agreements for priority threats)</w:t>
      </w:r>
      <w:r w:rsidR="00480AD7">
        <w:rPr>
          <w:rFonts w:cs="Arial"/>
          <w:sz w:val="24"/>
          <w:szCs w:val="24"/>
        </w:rPr>
        <w:t>,</w:t>
      </w:r>
      <w:r w:rsidRPr="00274CE9">
        <w:rPr>
          <w:rFonts w:cs="Arial"/>
          <w:sz w:val="24"/>
          <w:szCs w:val="24"/>
        </w:rPr>
        <w:t xml:space="preserve"> the use of </w:t>
      </w:r>
      <w:r w:rsidR="00480AD7">
        <w:rPr>
          <w:rFonts w:cs="Arial"/>
          <w:sz w:val="24"/>
          <w:szCs w:val="24"/>
        </w:rPr>
        <w:t>Industry Funding Schemes (</w:t>
      </w:r>
      <w:r w:rsidRPr="00274CE9">
        <w:rPr>
          <w:rFonts w:cs="Arial"/>
          <w:sz w:val="24"/>
          <w:szCs w:val="24"/>
        </w:rPr>
        <w:t>IFSs</w:t>
      </w:r>
      <w:r w:rsidR="00480AD7">
        <w:rPr>
          <w:rFonts w:cs="Arial"/>
          <w:sz w:val="24"/>
          <w:szCs w:val="24"/>
        </w:rPr>
        <w:t>)</w:t>
      </w:r>
      <w:r w:rsidRPr="00274CE9">
        <w:rPr>
          <w:rFonts w:cs="Arial"/>
          <w:sz w:val="24"/>
          <w:szCs w:val="24"/>
        </w:rPr>
        <w:t xml:space="preserve"> and RBGs</w:t>
      </w:r>
      <w:r w:rsidR="00480AD7">
        <w:rPr>
          <w:rFonts w:cs="Arial"/>
          <w:sz w:val="24"/>
          <w:szCs w:val="24"/>
        </w:rPr>
        <w:t>, and</w:t>
      </w:r>
      <w:r w:rsidRPr="00274CE9">
        <w:rPr>
          <w:rFonts w:cs="Arial"/>
          <w:sz w:val="24"/>
          <w:szCs w:val="24"/>
        </w:rPr>
        <w:t xml:space="preserve"> how to determine priorities; </w:t>
      </w:r>
      <w:r w:rsidR="001A0613" w:rsidRPr="00274CE9">
        <w:rPr>
          <w:rFonts w:cs="Arial"/>
          <w:sz w:val="24"/>
          <w:szCs w:val="24"/>
        </w:rPr>
        <w:t>and</w:t>
      </w:r>
      <w:r w:rsidRPr="00274CE9">
        <w:rPr>
          <w:rFonts w:cs="Arial"/>
          <w:sz w:val="24"/>
          <w:szCs w:val="24"/>
        </w:rPr>
        <w:t xml:space="preserve"> a </w:t>
      </w:r>
      <w:r w:rsidR="001A0613" w:rsidRPr="00274CE9">
        <w:rPr>
          <w:rFonts w:cs="Arial"/>
          <w:sz w:val="24"/>
          <w:szCs w:val="24"/>
        </w:rPr>
        <w:t xml:space="preserve">State </w:t>
      </w:r>
      <w:r w:rsidRPr="00274CE9">
        <w:rPr>
          <w:rFonts w:cs="Arial"/>
          <w:sz w:val="24"/>
          <w:szCs w:val="24"/>
        </w:rPr>
        <w:t>strategy that acknowledges the difficulties in maintaining WA’s biosecurity.</w:t>
      </w:r>
    </w:p>
    <w:p w14:paraId="55B95CE7" w14:textId="5B7E23D2" w:rsidR="00C3057D" w:rsidRDefault="00FB7EF8" w:rsidP="00C3057D">
      <w:pPr>
        <w:pStyle w:val="Heading1"/>
      </w:pPr>
      <w:bookmarkStart w:id="12" w:name="_Toc433204414"/>
      <w:r>
        <w:lastRenderedPageBreak/>
        <w:t>Council c</w:t>
      </w:r>
      <w:r w:rsidR="00FA466A">
        <w:t>onclusions</w:t>
      </w:r>
      <w:bookmarkEnd w:id="12"/>
    </w:p>
    <w:p w14:paraId="7FD0EE20" w14:textId="3157F4E6" w:rsidR="00DA79F3" w:rsidRPr="00274CE9" w:rsidRDefault="00DA79F3" w:rsidP="00A72A7D">
      <w:pPr>
        <w:spacing w:before="120"/>
        <w:rPr>
          <w:rFonts w:cs="Arial"/>
          <w:sz w:val="24"/>
          <w:szCs w:val="24"/>
        </w:rPr>
      </w:pPr>
      <w:r w:rsidRPr="00274CE9">
        <w:rPr>
          <w:rFonts w:cs="Arial"/>
          <w:sz w:val="24"/>
          <w:szCs w:val="24"/>
        </w:rPr>
        <w:t xml:space="preserve">The stakeholder workshop provided a valuable avenue to explore risk-based decision-making and investment in biosecurity from industry, government and community perspectives, and to build new understanding on how the sectors can cooperate in biosecurity decision-making and joint effort. The </w:t>
      </w:r>
      <w:r w:rsidR="00FA466A" w:rsidRPr="00274CE9">
        <w:rPr>
          <w:rFonts w:cs="Arial"/>
          <w:sz w:val="24"/>
          <w:szCs w:val="24"/>
        </w:rPr>
        <w:t>conclusions provided in this report</w:t>
      </w:r>
      <w:r w:rsidRPr="00274CE9">
        <w:rPr>
          <w:rFonts w:cs="Arial"/>
          <w:sz w:val="24"/>
          <w:szCs w:val="24"/>
        </w:rPr>
        <w:t xml:space="preserve"> </w:t>
      </w:r>
      <w:r w:rsidR="00FA466A" w:rsidRPr="00274CE9">
        <w:rPr>
          <w:rFonts w:cs="Arial"/>
          <w:sz w:val="24"/>
          <w:szCs w:val="24"/>
        </w:rPr>
        <w:t>reflect</w:t>
      </w:r>
      <w:r w:rsidRPr="00274CE9">
        <w:rPr>
          <w:rFonts w:cs="Arial"/>
          <w:sz w:val="24"/>
          <w:szCs w:val="24"/>
        </w:rPr>
        <w:t xml:space="preserve"> the Biosecurity Council’s </w:t>
      </w:r>
      <w:r w:rsidR="00FA466A" w:rsidRPr="00274CE9">
        <w:rPr>
          <w:rFonts w:cs="Arial"/>
          <w:sz w:val="24"/>
          <w:szCs w:val="24"/>
        </w:rPr>
        <w:t xml:space="preserve">own </w:t>
      </w:r>
      <w:r w:rsidRPr="00274CE9">
        <w:rPr>
          <w:rFonts w:cs="Arial"/>
          <w:sz w:val="24"/>
          <w:szCs w:val="24"/>
        </w:rPr>
        <w:t>interpretation</w:t>
      </w:r>
      <w:r w:rsidR="00FA466A" w:rsidRPr="00274CE9">
        <w:rPr>
          <w:rFonts w:cs="Arial"/>
          <w:sz w:val="24"/>
          <w:szCs w:val="24"/>
        </w:rPr>
        <w:t xml:space="preserve"> of the workshop discussion and outputs</w:t>
      </w:r>
      <w:r w:rsidR="00A72A7D" w:rsidRPr="00274CE9">
        <w:rPr>
          <w:rFonts w:cs="Arial"/>
          <w:sz w:val="24"/>
          <w:szCs w:val="24"/>
        </w:rPr>
        <w:t>,</w:t>
      </w:r>
      <w:r w:rsidR="00FA466A" w:rsidRPr="00274CE9">
        <w:rPr>
          <w:rFonts w:cs="Arial"/>
          <w:sz w:val="24"/>
          <w:szCs w:val="24"/>
        </w:rPr>
        <w:t xml:space="preserve"> combine</w:t>
      </w:r>
      <w:r w:rsidR="00A72A7D" w:rsidRPr="00274CE9">
        <w:rPr>
          <w:rFonts w:cs="Arial"/>
          <w:sz w:val="24"/>
          <w:szCs w:val="24"/>
        </w:rPr>
        <w:t>d with their background knowledge, experience and understanding.</w:t>
      </w:r>
    </w:p>
    <w:p w14:paraId="1A8E2A09" w14:textId="2DC317FC" w:rsidR="00A72A7D" w:rsidRPr="00274CE9" w:rsidRDefault="00A72A7D" w:rsidP="00A72A7D">
      <w:pPr>
        <w:spacing w:before="120"/>
        <w:rPr>
          <w:rFonts w:cs="Arial"/>
          <w:i/>
          <w:sz w:val="24"/>
          <w:szCs w:val="24"/>
        </w:rPr>
      </w:pPr>
      <w:r w:rsidRPr="00274CE9">
        <w:rPr>
          <w:rFonts w:cs="Arial"/>
          <w:i/>
          <w:sz w:val="24"/>
          <w:szCs w:val="24"/>
        </w:rPr>
        <w:t>Where are we at?</w:t>
      </w:r>
    </w:p>
    <w:p w14:paraId="5AEF6A05" w14:textId="0B3239ED" w:rsidR="00A72A7D" w:rsidRPr="00274CE9" w:rsidRDefault="00A74B3A" w:rsidP="00A72A7D">
      <w:pPr>
        <w:spacing w:before="120"/>
        <w:rPr>
          <w:rFonts w:cs="Arial"/>
          <w:sz w:val="24"/>
          <w:szCs w:val="24"/>
        </w:rPr>
      </w:pPr>
      <w:r w:rsidRPr="00274CE9">
        <w:rPr>
          <w:rFonts w:cs="Arial"/>
          <w:sz w:val="24"/>
          <w:szCs w:val="24"/>
        </w:rPr>
        <w:t>From a ‘whole-of-system’ perspective, t</w:t>
      </w:r>
      <w:r w:rsidR="00A72A7D" w:rsidRPr="00274CE9">
        <w:rPr>
          <w:rFonts w:cs="Arial"/>
          <w:sz w:val="24"/>
          <w:szCs w:val="24"/>
        </w:rPr>
        <w:t xml:space="preserve">here is reasonably widespread acceptance of biosecurity as a shared responsibility. However, this </w:t>
      </w:r>
      <w:r w:rsidR="00262839" w:rsidRPr="00274CE9">
        <w:rPr>
          <w:rFonts w:cs="Arial"/>
          <w:sz w:val="24"/>
          <w:szCs w:val="24"/>
        </w:rPr>
        <w:t>needs to be translated into coordinated</w:t>
      </w:r>
      <w:r w:rsidR="00656674" w:rsidRPr="00274CE9">
        <w:rPr>
          <w:rFonts w:cs="Arial"/>
          <w:sz w:val="24"/>
          <w:szCs w:val="24"/>
        </w:rPr>
        <w:t xml:space="preserve"> and cooperative</w:t>
      </w:r>
      <w:r w:rsidR="00382C24" w:rsidRPr="00274CE9">
        <w:rPr>
          <w:rFonts w:cs="Arial"/>
          <w:sz w:val="24"/>
          <w:szCs w:val="24"/>
        </w:rPr>
        <w:t xml:space="preserve"> action</w:t>
      </w:r>
      <w:r w:rsidR="00262839" w:rsidRPr="00274CE9">
        <w:rPr>
          <w:rFonts w:cs="Arial"/>
          <w:sz w:val="24"/>
          <w:szCs w:val="24"/>
        </w:rPr>
        <w:t xml:space="preserve"> to address the biosecurity priorities across the breadth of the invasion curve</w:t>
      </w:r>
      <w:r w:rsidR="00B14054" w:rsidRPr="00274CE9">
        <w:rPr>
          <w:rFonts w:cs="Arial"/>
          <w:sz w:val="24"/>
          <w:szCs w:val="24"/>
        </w:rPr>
        <w:t>, with a clearer sense of direction than at present</w:t>
      </w:r>
      <w:r w:rsidR="00262839" w:rsidRPr="00274CE9">
        <w:rPr>
          <w:rFonts w:cs="Arial"/>
          <w:sz w:val="24"/>
          <w:szCs w:val="24"/>
        </w:rPr>
        <w:t>.</w:t>
      </w:r>
    </w:p>
    <w:p w14:paraId="368708D4" w14:textId="08346656" w:rsidR="00382C24" w:rsidRPr="00274CE9" w:rsidRDefault="00624439" w:rsidP="00A72A7D">
      <w:pPr>
        <w:spacing w:before="120"/>
        <w:rPr>
          <w:rFonts w:cs="Arial"/>
          <w:sz w:val="24"/>
          <w:szCs w:val="24"/>
        </w:rPr>
      </w:pPr>
      <w:r w:rsidRPr="00274CE9">
        <w:rPr>
          <w:rFonts w:cs="Arial"/>
          <w:sz w:val="24"/>
          <w:szCs w:val="24"/>
        </w:rPr>
        <w:t xml:space="preserve">The resourcing position of government is clear—there </w:t>
      </w:r>
      <w:r w:rsidR="00937A06" w:rsidRPr="00274CE9">
        <w:rPr>
          <w:rFonts w:cs="Arial"/>
          <w:sz w:val="24"/>
          <w:szCs w:val="24"/>
        </w:rPr>
        <w:t>are</w:t>
      </w:r>
      <w:r w:rsidRPr="00274CE9">
        <w:rPr>
          <w:rFonts w:cs="Arial"/>
          <w:sz w:val="24"/>
          <w:szCs w:val="24"/>
        </w:rPr>
        <w:t xml:space="preserve"> </w:t>
      </w:r>
      <w:proofErr w:type="gramStart"/>
      <w:r w:rsidRPr="00274CE9">
        <w:rPr>
          <w:rFonts w:cs="Arial"/>
          <w:sz w:val="24"/>
          <w:szCs w:val="24"/>
        </w:rPr>
        <w:t>less</w:t>
      </w:r>
      <w:proofErr w:type="gramEnd"/>
      <w:r w:rsidRPr="00274CE9">
        <w:rPr>
          <w:rFonts w:cs="Arial"/>
          <w:sz w:val="24"/>
          <w:szCs w:val="24"/>
        </w:rPr>
        <w:t xml:space="preserve"> resources, which has set in motion a strict</w:t>
      </w:r>
      <w:r w:rsidR="00937A06" w:rsidRPr="00274CE9">
        <w:rPr>
          <w:rFonts w:cs="Arial"/>
          <w:sz w:val="24"/>
          <w:szCs w:val="24"/>
        </w:rPr>
        <w:t xml:space="preserve"> process to</w:t>
      </w:r>
      <w:r w:rsidRPr="00274CE9">
        <w:rPr>
          <w:rFonts w:cs="Arial"/>
          <w:sz w:val="24"/>
          <w:szCs w:val="24"/>
        </w:rPr>
        <w:t xml:space="preserve"> target</w:t>
      </w:r>
      <w:r w:rsidR="00937A06" w:rsidRPr="00274CE9">
        <w:rPr>
          <w:rFonts w:cs="Arial"/>
          <w:sz w:val="24"/>
          <w:szCs w:val="24"/>
        </w:rPr>
        <w:t xml:space="preserve"> the</w:t>
      </w:r>
      <w:r w:rsidRPr="00274CE9">
        <w:rPr>
          <w:rFonts w:cs="Arial"/>
          <w:sz w:val="24"/>
          <w:szCs w:val="24"/>
        </w:rPr>
        <w:t xml:space="preserve"> limited resources toward </w:t>
      </w:r>
      <w:r w:rsidR="00937A06" w:rsidRPr="00274CE9">
        <w:rPr>
          <w:rFonts w:cs="Arial"/>
          <w:sz w:val="24"/>
          <w:szCs w:val="24"/>
        </w:rPr>
        <w:t>activities that are core</w:t>
      </w:r>
      <w:r w:rsidRPr="00274CE9">
        <w:rPr>
          <w:rFonts w:cs="Arial"/>
          <w:sz w:val="24"/>
          <w:szCs w:val="24"/>
        </w:rPr>
        <w:t xml:space="preserve"> government business. </w:t>
      </w:r>
      <w:r w:rsidR="00382C24" w:rsidRPr="00274CE9">
        <w:rPr>
          <w:rFonts w:cs="Arial"/>
          <w:sz w:val="24"/>
          <w:szCs w:val="24"/>
        </w:rPr>
        <w:t xml:space="preserve">Although joint effort in biosecurity has been gaining traction over the years, the current resourcing position of government has provided a </w:t>
      </w:r>
      <w:r w:rsidR="00EA5354" w:rsidRPr="00274CE9">
        <w:rPr>
          <w:rFonts w:cs="Arial"/>
          <w:sz w:val="24"/>
          <w:szCs w:val="24"/>
        </w:rPr>
        <w:t>strong</w:t>
      </w:r>
      <w:r w:rsidR="009F2A2D" w:rsidRPr="00274CE9">
        <w:rPr>
          <w:rFonts w:cs="Arial"/>
          <w:sz w:val="24"/>
          <w:szCs w:val="24"/>
        </w:rPr>
        <w:t xml:space="preserve"> incentive </w:t>
      </w:r>
      <w:r w:rsidR="00937A06" w:rsidRPr="00274CE9">
        <w:rPr>
          <w:rFonts w:cs="Arial"/>
          <w:sz w:val="24"/>
          <w:szCs w:val="24"/>
        </w:rPr>
        <w:t>to</w:t>
      </w:r>
      <w:r w:rsidR="009F2A2D" w:rsidRPr="00274CE9">
        <w:rPr>
          <w:rFonts w:cs="Arial"/>
          <w:sz w:val="24"/>
          <w:szCs w:val="24"/>
        </w:rPr>
        <w:t xml:space="preserve"> settl</w:t>
      </w:r>
      <w:r w:rsidR="00937A06" w:rsidRPr="00274CE9">
        <w:rPr>
          <w:rFonts w:cs="Arial"/>
          <w:sz w:val="24"/>
          <w:szCs w:val="24"/>
        </w:rPr>
        <w:t>e</w:t>
      </w:r>
      <w:r w:rsidR="009F2A2D" w:rsidRPr="00274CE9">
        <w:rPr>
          <w:rFonts w:cs="Arial"/>
          <w:sz w:val="24"/>
          <w:szCs w:val="24"/>
        </w:rPr>
        <w:t xml:space="preserve"> conflict around biosecurity responsibilities and direction—</w:t>
      </w:r>
      <w:r w:rsidR="00382C24" w:rsidRPr="00274CE9">
        <w:rPr>
          <w:rFonts w:cs="Arial"/>
          <w:sz w:val="24"/>
          <w:szCs w:val="24"/>
        </w:rPr>
        <w:t>with the key objective being</w:t>
      </w:r>
      <w:r w:rsidR="00FC68F6" w:rsidRPr="00274CE9">
        <w:rPr>
          <w:rFonts w:cs="Arial"/>
          <w:sz w:val="24"/>
          <w:szCs w:val="24"/>
        </w:rPr>
        <w:t xml:space="preserve"> to maintain a functioning and effective biosecurity system for Western Australia.</w:t>
      </w:r>
    </w:p>
    <w:p w14:paraId="74844803" w14:textId="165AD70D" w:rsidR="00945414" w:rsidRPr="00274CE9" w:rsidRDefault="00624439" w:rsidP="00A72A7D">
      <w:pPr>
        <w:spacing w:before="120"/>
        <w:rPr>
          <w:rFonts w:cs="Arial"/>
          <w:sz w:val="24"/>
          <w:szCs w:val="24"/>
        </w:rPr>
      </w:pPr>
      <w:r w:rsidRPr="00274CE9">
        <w:rPr>
          <w:rFonts w:cs="Arial"/>
          <w:sz w:val="24"/>
          <w:szCs w:val="24"/>
        </w:rPr>
        <w:t>From this, there is an assumption that industry and/or community may ‘pick up’ biosecurity activities that</w:t>
      </w:r>
      <w:r w:rsidR="00656674" w:rsidRPr="00274CE9">
        <w:rPr>
          <w:rFonts w:cs="Arial"/>
          <w:sz w:val="24"/>
          <w:szCs w:val="24"/>
        </w:rPr>
        <w:t xml:space="preserve"> government will no longer fund</w:t>
      </w:r>
      <w:r w:rsidRPr="00274CE9">
        <w:rPr>
          <w:rFonts w:cs="Arial"/>
          <w:sz w:val="24"/>
          <w:szCs w:val="24"/>
        </w:rPr>
        <w:t xml:space="preserve">. </w:t>
      </w:r>
      <w:r w:rsidR="00656674" w:rsidRPr="00274CE9">
        <w:rPr>
          <w:rFonts w:cs="Arial"/>
          <w:sz w:val="24"/>
          <w:szCs w:val="24"/>
        </w:rPr>
        <w:t>Coupled with this is an expectation that industry/community will focus their resources on ‘priorities’</w:t>
      </w:r>
      <w:r w:rsidR="00B3454B" w:rsidRPr="00274CE9">
        <w:rPr>
          <w:rFonts w:cs="Arial"/>
          <w:sz w:val="24"/>
          <w:szCs w:val="24"/>
        </w:rPr>
        <w:t>. Wh</w:t>
      </w:r>
      <w:r w:rsidR="00A74B3A" w:rsidRPr="00274CE9">
        <w:rPr>
          <w:rFonts w:cs="Arial"/>
          <w:sz w:val="24"/>
          <w:szCs w:val="24"/>
        </w:rPr>
        <w:t>ether</w:t>
      </w:r>
      <w:r w:rsidR="00656674" w:rsidRPr="00274CE9">
        <w:rPr>
          <w:rFonts w:cs="Arial"/>
          <w:sz w:val="24"/>
          <w:szCs w:val="24"/>
        </w:rPr>
        <w:t xml:space="preserve"> the areas government see as priorities for industry/community </w:t>
      </w:r>
      <w:r w:rsidR="00A74B3A" w:rsidRPr="00274CE9">
        <w:rPr>
          <w:rFonts w:cs="Arial"/>
          <w:sz w:val="24"/>
          <w:szCs w:val="24"/>
        </w:rPr>
        <w:t>align</w:t>
      </w:r>
      <w:r w:rsidR="00656674" w:rsidRPr="00274CE9">
        <w:rPr>
          <w:rFonts w:cs="Arial"/>
          <w:sz w:val="24"/>
          <w:szCs w:val="24"/>
        </w:rPr>
        <w:t xml:space="preserve"> with the </w:t>
      </w:r>
      <w:r w:rsidR="00A74B3A" w:rsidRPr="00274CE9">
        <w:rPr>
          <w:rFonts w:cs="Arial"/>
          <w:sz w:val="24"/>
          <w:szCs w:val="24"/>
        </w:rPr>
        <w:t>areas industry/</w:t>
      </w:r>
      <w:r w:rsidR="00656674" w:rsidRPr="00274CE9">
        <w:rPr>
          <w:rFonts w:cs="Arial"/>
          <w:sz w:val="24"/>
          <w:szCs w:val="24"/>
        </w:rPr>
        <w:t>community see as their priorities</w:t>
      </w:r>
      <w:r w:rsidR="00A74B3A" w:rsidRPr="00274CE9">
        <w:rPr>
          <w:rFonts w:cs="Arial"/>
          <w:sz w:val="24"/>
          <w:szCs w:val="24"/>
        </w:rPr>
        <w:t xml:space="preserve"> is still to be revealed.</w:t>
      </w:r>
      <w:r w:rsidR="00945414" w:rsidRPr="00274CE9">
        <w:rPr>
          <w:rFonts w:cs="Arial"/>
          <w:sz w:val="24"/>
          <w:szCs w:val="24"/>
        </w:rPr>
        <w:t xml:space="preserve"> </w:t>
      </w:r>
      <w:r w:rsidR="00B3454B" w:rsidRPr="00274CE9">
        <w:rPr>
          <w:rFonts w:cs="Arial"/>
          <w:sz w:val="24"/>
          <w:szCs w:val="24"/>
        </w:rPr>
        <w:t xml:space="preserve">Whatever the case, where government withdraws funding support or transfers responsibility to industry and community, it </w:t>
      </w:r>
      <w:r w:rsidR="00557679" w:rsidRPr="00274CE9">
        <w:rPr>
          <w:rFonts w:cs="Arial"/>
          <w:sz w:val="24"/>
          <w:szCs w:val="24"/>
        </w:rPr>
        <w:t>must also accept that it has</w:t>
      </w:r>
      <w:r w:rsidR="00B3454B" w:rsidRPr="00274CE9">
        <w:rPr>
          <w:rFonts w:cs="Arial"/>
          <w:sz w:val="24"/>
          <w:szCs w:val="24"/>
        </w:rPr>
        <w:t xml:space="preserve"> also </w:t>
      </w:r>
      <w:r w:rsidR="00945414" w:rsidRPr="00274CE9">
        <w:rPr>
          <w:rFonts w:cs="Arial"/>
          <w:sz w:val="24"/>
          <w:szCs w:val="24"/>
        </w:rPr>
        <w:t>relinquish</w:t>
      </w:r>
      <w:r w:rsidR="00557679" w:rsidRPr="00274CE9">
        <w:rPr>
          <w:rFonts w:cs="Arial"/>
          <w:sz w:val="24"/>
          <w:szCs w:val="24"/>
        </w:rPr>
        <w:t>ed</w:t>
      </w:r>
      <w:r w:rsidR="00945414" w:rsidRPr="00274CE9">
        <w:rPr>
          <w:rFonts w:cs="Arial"/>
          <w:sz w:val="24"/>
          <w:szCs w:val="24"/>
        </w:rPr>
        <w:t xml:space="preserve"> </w:t>
      </w:r>
      <w:r w:rsidR="00B3454B" w:rsidRPr="00274CE9">
        <w:rPr>
          <w:rFonts w:cs="Arial"/>
          <w:sz w:val="24"/>
          <w:szCs w:val="24"/>
        </w:rPr>
        <w:t>control in those areas</w:t>
      </w:r>
      <w:r w:rsidR="00945414" w:rsidRPr="00274CE9">
        <w:rPr>
          <w:rFonts w:cs="Arial"/>
          <w:sz w:val="24"/>
          <w:szCs w:val="24"/>
        </w:rPr>
        <w:t>.</w:t>
      </w:r>
    </w:p>
    <w:p w14:paraId="7D4D5CE1" w14:textId="725BBB76" w:rsidR="00EA5354" w:rsidRPr="00274CE9" w:rsidRDefault="00945414" w:rsidP="00945414">
      <w:pPr>
        <w:spacing w:before="120"/>
        <w:rPr>
          <w:rFonts w:cs="Arial"/>
          <w:sz w:val="24"/>
          <w:szCs w:val="24"/>
        </w:rPr>
      </w:pPr>
      <w:r w:rsidRPr="00274CE9">
        <w:rPr>
          <w:rFonts w:cs="Arial"/>
          <w:sz w:val="24"/>
          <w:szCs w:val="24"/>
        </w:rPr>
        <w:t>Having said that, t</w:t>
      </w:r>
      <w:r w:rsidR="00624439" w:rsidRPr="00274CE9">
        <w:rPr>
          <w:rFonts w:cs="Arial"/>
          <w:sz w:val="24"/>
          <w:szCs w:val="24"/>
        </w:rPr>
        <w:t xml:space="preserve">here is a very strong expectation from industry and community </w:t>
      </w:r>
      <w:r w:rsidR="00E40ACA" w:rsidRPr="00274CE9">
        <w:rPr>
          <w:rFonts w:cs="Arial"/>
          <w:sz w:val="24"/>
          <w:szCs w:val="24"/>
        </w:rPr>
        <w:t>that</w:t>
      </w:r>
      <w:r w:rsidR="00624439" w:rsidRPr="00274CE9">
        <w:rPr>
          <w:rFonts w:cs="Arial"/>
          <w:sz w:val="24"/>
          <w:szCs w:val="24"/>
        </w:rPr>
        <w:t xml:space="preserve"> </w:t>
      </w:r>
      <w:r w:rsidR="00EA5354" w:rsidRPr="00274CE9">
        <w:rPr>
          <w:rFonts w:cs="Arial"/>
          <w:sz w:val="24"/>
          <w:szCs w:val="24"/>
        </w:rPr>
        <w:t xml:space="preserve">government </w:t>
      </w:r>
      <w:r w:rsidR="00E40ACA" w:rsidRPr="00274CE9">
        <w:rPr>
          <w:rFonts w:cs="Arial"/>
          <w:sz w:val="24"/>
          <w:szCs w:val="24"/>
        </w:rPr>
        <w:t xml:space="preserve">will provide </w:t>
      </w:r>
      <w:r w:rsidR="00EA5354" w:rsidRPr="00274CE9">
        <w:rPr>
          <w:rFonts w:cs="Arial"/>
          <w:sz w:val="24"/>
          <w:szCs w:val="24"/>
        </w:rPr>
        <w:t>support, advice</w:t>
      </w:r>
      <w:r w:rsidR="005745C3" w:rsidRPr="00274CE9">
        <w:rPr>
          <w:rFonts w:cs="Arial"/>
          <w:sz w:val="24"/>
          <w:szCs w:val="24"/>
        </w:rPr>
        <w:t xml:space="preserve"> and </w:t>
      </w:r>
      <w:r w:rsidR="00EA5354" w:rsidRPr="00274CE9">
        <w:rPr>
          <w:rFonts w:cs="Arial"/>
          <w:sz w:val="24"/>
          <w:szCs w:val="24"/>
        </w:rPr>
        <w:t>engagement</w:t>
      </w:r>
      <w:r w:rsidR="005745C3" w:rsidRPr="00274CE9">
        <w:rPr>
          <w:rFonts w:cs="Arial"/>
          <w:sz w:val="24"/>
          <w:szCs w:val="24"/>
        </w:rPr>
        <w:t>—</w:t>
      </w:r>
      <w:r w:rsidR="00624439" w:rsidRPr="00274CE9">
        <w:rPr>
          <w:rFonts w:cs="Arial"/>
          <w:sz w:val="24"/>
          <w:szCs w:val="24"/>
        </w:rPr>
        <w:t>particularly in terms of strategic direction (such as policy, priority s</w:t>
      </w:r>
      <w:r w:rsidR="005745C3" w:rsidRPr="00274CE9">
        <w:rPr>
          <w:rFonts w:cs="Arial"/>
          <w:sz w:val="24"/>
          <w:szCs w:val="24"/>
        </w:rPr>
        <w:t>etting etc.), technical expertise (e.g. risk assessment, control options etc.) and supporting systems and processes.</w:t>
      </w:r>
      <w:r w:rsidRPr="00274CE9">
        <w:rPr>
          <w:rFonts w:cs="Arial"/>
          <w:sz w:val="24"/>
          <w:szCs w:val="24"/>
        </w:rPr>
        <w:t xml:space="preserve"> How </w:t>
      </w:r>
      <w:r w:rsidR="00656674" w:rsidRPr="00274CE9">
        <w:rPr>
          <w:rFonts w:cs="Arial"/>
          <w:sz w:val="24"/>
          <w:szCs w:val="24"/>
        </w:rPr>
        <w:t>government intend</w:t>
      </w:r>
      <w:r w:rsidR="00E40ACA" w:rsidRPr="00274CE9">
        <w:rPr>
          <w:rFonts w:cs="Arial"/>
          <w:sz w:val="24"/>
          <w:szCs w:val="24"/>
        </w:rPr>
        <w:t>s</w:t>
      </w:r>
      <w:r w:rsidR="00656674" w:rsidRPr="00274CE9">
        <w:rPr>
          <w:rFonts w:cs="Arial"/>
          <w:sz w:val="24"/>
          <w:szCs w:val="24"/>
        </w:rPr>
        <w:t xml:space="preserve"> to assist industry/community </w:t>
      </w:r>
      <w:r w:rsidRPr="00274CE9">
        <w:rPr>
          <w:rFonts w:cs="Arial"/>
          <w:sz w:val="24"/>
          <w:szCs w:val="24"/>
        </w:rPr>
        <w:t>in this transition is unclear.</w:t>
      </w:r>
    </w:p>
    <w:p w14:paraId="470A47D2" w14:textId="3F6B5899" w:rsidR="00382C24" w:rsidRPr="00274CE9" w:rsidRDefault="00EA5354" w:rsidP="00382C24">
      <w:pPr>
        <w:spacing w:before="120"/>
        <w:rPr>
          <w:rFonts w:cs="Arial"/>
          <w:sz w:val="24"/>
          <w:szCs w:val="24"/>
        </w:rPr>
      </w:pPr>
      <w:r w:rsidRPr="00274CE9">
        <w:rPr>
          <w:rFonts w:cs="Arial"/>
          <w:sz w:val="24"/>
          <w:szCs w:val="24"/>
        </w:rPr>
        <w:t xml:space="preserve">In order to advance cooperative decision-making and joint effort, the overarching (or underpinning) principles, frameworks, policies </w:t>
      </w:r>
      <w:r w:rsidR="00557679" w:rsidRPr="00274CE9">
        <w:rPr>
          <w:rFonts w:cs="Arial"/>
          <w:sz w:val="24"/>
          <w:szCs w:val="24"/>
        </w:rPr>
        <w:t xml:space="preserve">and agreements </w:t>
      </w:r>
      <w:r w:rsidRPr="00274CE9">
        <w:rPr>
          <w:rFonts w:cs="Arial"/>
          <w:sz w:val="24"/>
          <w:szCs w:val="24"/>
        </w:rPr>
        <w:t xml:space="preserve">need to be identified, </w:t>
      </w:r>
      <w:r w:rsidR="00382C24" w:rsidRPr="00274CE9">
        <w:rPr>
          <w:rFonts w:cs="Arial"/>
          <w:sz w:val="24"/>
          <w:szCs w:val="24"/>
        </w:rPr>
        <w:t>develop</w:t>
      </w:r>
      <w:r w:rsidRPr="00274CE9">
        <w:rPr>
          <w:rFonts w:cs="Arial"/>
          <w:sz w:val="24"/>
          <w:szCs w:val="24"/>
        </w:rPr>
        <w:t>ed</w:t>
      </w:r>
      <w:r w:rsidR="00382C24" w:rsidRPr="00274CE9">
        <w:rPr>
          <w:rFonts w:cs="Arial"/>
          <w:sz w:val="24"/>
          <w:szCs w:val="24"/>
        </w:rPr>
        <w:t xml:space="preserve"> and </w:t>
      </w:r>
      <w:r w:rsidRPr="00274CE9">
        <w:rPr>
          <w:rFonts w:cs="Arial"/>
          <w:sz w:val="24"/>
          <w:szCs w:val="24"/>
        </w:rPr>
        <w:t>agreed upon</w:t>
      </w:r>
      <w:r w:rsidR="00382C24" w:rsidRPr="00274CE9">
        <w:rPr>
          <w:rFonts w:cs="Arial"/>
          <w:sz w:val="24"/>
          <w:szCs w:val="24"/>
        </w:rPr>
        <w:t xml:space="preserve">. The growing industry and community leadership in biosecurity (or, at the least, the expectation of increased leadership and self-direction) necessitates a strong collaborative approach </w:t>
      </w:r>
      <w:r w:rsidR="00557679" w:rsidRPr="00274CE9">
        <w:rPr>
          <w:rFonts w:cs="Arial"/>
          <w:sz w:val="24"/>
          <w:szCs w:val="24"/>
        </w:rPr>
        <w:t>with government</w:t>
      </w:r>
      <w:r w:rsidR="00382C24" w:rsidRPr="00274CE9">
        <w:rPr>
          <w:rFonts w:cs="Arial"/>
          <w:sz w:val="24"/>
          <w:szCs w:val="24"/>
        </w:rPr>
        <w:t xml:space="preserve"> in order to construct these foundations. </w:t>
      </w:r>
    </w:p>
    <w:p w14:paraId="19F6E9FA" w14:textId="77777777" w:rsidR="00355EC5" w:rsidRDefault="00355EC5">
      <w:pPr>
        <w:spacing w:line="240" w:lineRule="auto"/>
        <w:jc w:val="center"/>
        <w:rPr>
          <w:rFonts w:cs="Arial"/>
          <w:i/>
          <w:sz w:val="24"/>
          <w:szCs w:val="24"/>
        </w:rPr>
      </w:pPr>
      <w:r>
        <w:rPr>
          <w:rFonts w:cs="Arial"/>
          <w:i/>
          <w:sz w:val="24"/>
          <w:szCs w:val="24"/>
        </w:rPr>
        <w:br w:type="page"/>
      </w:r>
    </w:p>
    <w:p w14:paraId="23EB47F1" w14:textId="13936E30" w:rsidR="00262839" w:rsidRPr="00274CE9" w:rsidRDefault="001528DB" w:rsidP="00A72A7D">
      <w:pPr>
        <w:spacing w:before="120"/>
        <w:rPr>
          <w:rFonts w:cs="Arial"/>
          <w:i/>
          <w:sz w:val="24"/>
          <w:szCs w:val="24"/>
        </w:rPr>
      </w:pPr>
      <w:r w:rsidRPr="00274CE9">
        <w:rPr>
          <w:rFonts w:cs="Arial"/>
          <w:i/>
          <w:sz w:val="24"/>
          <w:szCs w:val="24"/>
        </w:rPr>
        <w:lastRenderedPageBreak/>
        <w:t>Where is industry at?</w:t>
      </w:r>
    </w:p>
    <w:p w14:paraId="27CFC0BA" w14:textId="37E87B2D" w:rsidR="00906961" w:rsidRPr="00274CE9" w:rsidRDefault="001528DB" w:rsidP="001528DB">
      <w:pPr>
        <w:spacing w:before="120"/>
        <w:rPr>
          <w:rFonts w:cs="Arial"/>
          <w:sz w:val="24"/>
          <w:szCs w:val="24"/>
        </w:rPr>
      </w:pPr>
      <w:r w:rsidRPr="00274CE9">
        <w:rPr>
          <w:rFonts w:cs="Arial"/>
          <w:sz w:val="24"/>
          <w:szCs w:val="24"/>
        </w:rPr>
        <w:t>Industry is ready to ‘step up’; however, different industries are at different stages</w:t>
      </w:r>
      <w:r w:rsidR="00CD74D4" w:rsidRPr="00274CE9">
        <w:rPr>
          <w:sz w:val="24"/>
          <w:szCs w:val="24"/>
        </w:rPr>
        <w:t>.</w:t>
      </w:r>
      <w:r w:rsidR="00906961" w:rsidRPr="00274CE9">
        <w:rPr>
          <w:sz w:val="24"/>
          <w:szCs w:val="24"/>
        </w:rPr>
        <w:t xml:space="preserve"> </w:t>
      </w:r>
      <w:r w:rsidR="00937A06" w:rsidRPr="00274CE9">
        <w:rPr>
          <w:sz w:val="24"/>
          <w:szCs w:val="24"/>
        </w:rPr>
        <w:t>Of particular</w:t>
      </w:r>
      <w:r w:rsidR="00906961" w:rsidRPr="00274CE9">
        <w:rPr>
          <w:sz w:val="24"/>
          <w:szCs w:val="24"/>
        </w:rPr>
        <w:t xml:space="preserve"> importance is for industry resources to be targeted toward the priority areas, and government guidance and support in this area will be critical.</w:t>
      </w:r>
      <w:r w:rsidR="00937A06" w:rsidRPr="00274CE9">
        <w:rPr>
          <w:sz w:val="24"/>
          <w:szCs w:val="24"/>
        </w:rPr>
        <w:t xml:space="preserve"> </w:t>
      </w:r>
      <w:r w:rsidR="00E40ACA" w:rsidRPr="00274CE9">
        <w:rPr>
          <w:sz w:val="24"/>
          <w:szCs w:val="24"/>
        </w:rPr>
        <w:t>T</w:t>
      </w:r>
      <w:r w:rsidR="0043268C" w:rsidRPr="00274CE9">
        <w:rPr>
          <w:sz w:val="24"/>
          <w:szCs w:val="24"/>
        </w:rPr>
        <w:t>he Council</w:t>
      </w:r>
      <w:r w:rsidR="00E40ACA" w:rsidRPr="00274CE9">
        <w:rPr>
          <w:sz w:val="24"/>
          <w:szCs w:val="24"/>
        </w:rPr>
        <w:t xml:space="preserve"> supports this in principle and, by implication,</w:t>
      </w:r>
      <w:r w:rsidR="0043268C" w:rsidRPr="00274CE9">
        <w:rPr>
          <w:sz w:val="24"/>
          <w:szCs w:val="24"/>
        </w:rPr>
        <w:t xml:space="preserve"> belie</w:t>
      </w:r>
      <w:r w:rsidR="00E40ACA" w:rsidRPr="00274CE9">
        <w:rPr>
          <w:sz w:val="24"/>
          <w:szCs w:val="24"/>
        </w:rPr>
        <w:t>ves</w:t>
      </w:r>
      <w:r w:rsidR="0043268C" w:rsidRPr="00274CE9">
        <w:rPr>
          <w:sz w:val="24"/>
          <w:szCs w:val="24"/>
        </w:rPr>
        <w:t xml:space="preserve"> that funding should not </w:t>
      </w:r>
      <w:r w:rsidR="00674DC6" w:rsidRPr="00274CE9">
        <w:rPr>
          <w:sz w:val="24"/>
          <w:szCs w:val="24"/>
        </w:rPr>
        <w:t>be used to address</w:t>
      </w:r>
      <w:r w:rsidR="0043268C" w:rsidRPr="00274CE9">
        <w:rPr>
          <w:sz w:val="24"/>
          <w:szCs w:val="24"/>
        </w:rPr>
        <w:t xml:space="preserve"> low</w:t>
      </w:r>
      <w:r w:rsidR="00674DC6" w:rsidRPr="00274CE9">
        <w:rPr>
          <w:sz w:val="24"/>
          <w:szCs w:val="24"/>
        </w:rPr>
        <w:t xml:space="preserve"> priorities</w:t>
      </w:r>
      <w:r w:rsidR="0043268C" w:rsidRPr="00274CE9">
        <w:rPr>
          <w:sz w:val="24"/>
          <w:szCs w:val="24"/>
        </w:rPr>
        <w:t xml:space="preserve"> </w:t>
      </w:r>
      <w:r w:rsidR="00674DC6" w:rsidRPr="00274CE9">
        <w:rPr>
          <w:sz w:val="24"/>
          <w:szCs w:val="24"/>
        </w:rPr>
        <w:t>if</w:t>
      </w:r>
      <w:r w:rsidR="0043268C" w:rsidRPr="00274CE9">
        <w:rPr>
          <w:sz w:val="24"/>
          <w:szCs w:val="24"/>
        </w:rPr>
        <w:t xml:space="preserve"> our objective is to </w:t>
      </w:r>
      <w:r w:rsidR="00674DC6" w:rsidRPr="00274CE9">
        <w:rPr>
          <w:sz w:val="24"/>
          <w:szCs w:val="24"/>
        </w:rPr>
        <w:t>maintain an effective</w:t>
      </w:r>
      <w:r w:rsidR="0043268C" w:rsidRPr="00274CE9">
        <w:rPr>
          <w:sz w:val="24"/>
          <w:szCs w:val="24"/>
        </w:rPr>
        <w:t xml:space="preserve"> biosecurity system. Within the </w:t>
      </w:r>
      <w:r w:rsidR="00937A06" w:rsidRPr="00274CE9">
        <w:rPr>
          <w:rFonts w:cs="Arial"/>
          <w:sz w:val="24"/>
          <w:szCs w:val="24"/>
        </w:rPr>
        <w:t>horticultur</w:t>
      </w:r>
      <w:r w:rsidR="0043268C" w:rsidRPr="00274CE9">
        <w:rPr>
          <w:rFonts w:cs="Arial"/>
          <w:sz w:val="24"/>
          <w:szCs w:val="24"/>
        </w:rPr>
        <w:t xml:space="preserve">e </w:t>
      </w:r>
      <w:r w:rsidR="00757418" w:rsidRPr="00274CE9">
        <w:rPr>
          <w:rFonts w:cs="Arial"/>
          <w:sz w:val="24"/>
          <w:szCs w:val="24"/>
        </w:rPr>
        <w:t>sector</w:t>
      </w:r>
      <w:r w:rsidR="0043268C" w:rsidRPr="00274CE9">
        <w:rPr>
          <w:rFonts w:cs="Arial"/>
          <w:sz w:val="24"/>
          <w:szCs w:val="24"/>
        </w:rPr>
        <w:t xml:space="preserve">, there is a </w:t>
      </w:r>
      <w:r w:rsidR="00937A06" w:rsidRPr="00274CE9">
        <w:rPr>
          <w:rFonts w:cs="Arial"/>
          <w:sz w:val="24"/>
          <w:szCs w:val="24"/>
        </w:rPr>
        <w:t>perceive</w:t>
      </w:r>
      <w:r w:rsidR="0043268C" w:rsidRPr="00274CE9">
        <w:rPr>
          <w:rFonts w:cs="Arial"/>
          <w:sz w:val="24"/>
          <w:szCs w:val="24"/>
        </w:rPr>
        <w:t>d</w:t>
      </w:r>
      <w:r w:rsidR="00937A06" w:rsidRPr="00274CE9">
        <w:rPr>
          <w:rFonts w:cs="Arial"/>
          <w:sz w:val="24"/>
          <w:szCs w:val="24"/>
        </w:rPr>
        <w:t xml:space="preserve"> boundary between ‘industry responsibility’ (left-hand side of the invasion curve) and ‘business</w:t>
      </w:r>
      <w:r w:rsidR="00674DC6" w:rsidRPr="00274CE9">
        <w:rPr>
          <w:rFonts w:cs="Arial"/>
          <w:sz w:val="24"/>
          <w:szCs w:val="24"/>
        </w:rPr>
        <w:t>/individual</w:t>
      </w:r>
      <w:r w:rsidR="00937A06" w:rsidRPr="00274CE9">
        <w:rPr>
          <w:rFonts w:cs="Arial"/>
          <w:sz w:val="24"/>
          <w:szCs w:val="24"/>
        </w:rPr>
        <w:t xml:space="preserve"> responsibility’ (right-hand side of the curve), which provides a c</w:t>
      </w:r>
      <w:r w:rsidR="0043268C" w:rsidRPr="00274CE9">
        <w:rPr>
          <w:rFonts w:cs="Arial"/>
          <w:sz w:val="24"/>
          <w:szCs w:val="24"/>
        </w:rPr>
        <w:t>lear criterion for determining the</w:t>
      </w:r>
      <w:r w:rsidR="00674DC6" w:rsidRPr="00274CE9">
        <w:rPr>
          <w:rFonts w:cs="Arial"/>
          <w:sz w:val="24"/>
          <w:szCs w:val="24"/>
        </w:rPr>
        <w:t>ir</w:t>
      </w:r>
      <w:r w:rsidR="0043268C" w:rsidRPr="00274CE9">
        <w:rPr>
          <w:rFonts w:cs="Arial"/>
          <w:sz w:val="24"/>
          <w:szCs w:val="24"/>
        </w:rPr>
        <w:t xml:space="preserve"> industry priorities</w:t>
      </w:r>
      <w:r w:rsidR="00937A06" w:rsidRPr="00274CE9">
        <w:rPr>
          <w:rFonts w:cs="Arial"/>
          <w:sz w:val="24"/>
          <w:szCs w:val="24"/>
        </w:rPr>
        <w:t>.</w:t>
      </w:r>
      <w:r w:rsidR="0043268C" w:rsidRPr="00274CE9">
        <w:rPr>
          <w:rFonts w:cs="Arial"/>
          <w:sz w:val="24"/>
          <w:szCs w:val="24"/>
        </w:rPr>
        <w:t xml:space="preserve"> </w:t>
      </w:r>
      <w:r w:rsidR="00674DC6" w:rsidRPr="00274CE9">
        <w:rPr>
          <w:rFonts w:cs="Arial"/>
          <w:sz w:val="24"/>
          <w:szCs w:val="24"/>
        </w:rPr>
        <w:t xml:space="preserve">Such delineations </w:t>
      </w:r>
      <w:r w:rsidR="008D12C3" w:rsidRPr="00274CE9">
        <w:rPr>
          <w:rFonts w:cs="Arial"/>
          <w:sz w:val="24"/>
          <w:szCs w:val="24"/>
        </w:rPr>
        <w:t>have not been articulated</w:t>
      </w:r>
      <w:r w:rsidR="00674DC6" w:rsidRPr="00274CE9">
        <w:rPr>
          <w:rFonts w:cs="Arial"/>
          <w:sz w:val="24"/>
          <w:szCs w:val="24"/>
        </w:rPr>
        <w:t xml:space="preserve"> for other industries.</w:t>
      </w:r>
    </w:p>
    <w:p w14:paraId="2148D0DA" w14:textId="061C49A5" w:rsidR="00557679" w:rsidRPr="00274CE9" w:rsidRDefault="00557679" w:rsidP="003F2D1F">
      <w:pPr>
        <w:spacing w:before="120"/>
        <w:rPr>
          <w:rFonts w:cs="Arial"/>
          <w:sz w:val="24"/>
          <w:szCs w:val="24"/>
        </w:rPr>
      </w:pPr>
      <w:r w:rsidRPr="00274CE9">
        <w:rPr>
          <w:rFonts w:cs="Arial"/>
          <w:sz w:val="24"/>
          <w:szCs w:val="24"/>
        </w:rPr>
        <w:t>There is industry support for the reinstatement of the ‘Guards’ (</w:t>
      </w:r>
      <w:proofErr w:type="spellStart"/>
      <w:r w:rsidR="00E40ACA" w:rsidRPr="00274CE9">
        <w:rPr>
          <w:rFonts w:cs="Arial"/>
          <w:sz w:val="24"/>
          <w:szCs w:val="24"/>
        </w:rPr>
        <w:t>e.g.HortGuard</w:t>
      </w:r>
      <w:proofErr w:type="spellEnd"/>
      <w:r w:rsidR="00E40ACA" w:rsidRPr="00274CE9">
        <w:rPr>
          <w:rFonts w:cs="Arial"/>
          <w:sz w:val="24"/>
          <w:szCs w:val="24"/>
        </w:rPr>
        <w:t xml:space="preserve">), </w:t>
      </w:r>
      <w:r w:rsidRPr="00274CE9">
        <w:rPr>
          <w:rFonts w:cs="Arial"/>
          <w:sz w:val="24"/>
          <w:szCs w:val="24"/>
        </w:rPr>
        <w:t>or similar</w:t>
      </w:r>
      <w:r w:rsidR="00E40ACA" w:rsidRPr="00274CE9">
        <w:rPr>
          <w:rFonts w:cs="Arial"/>
          <w:sz w:val="24"/>
          <w:szCs w:val="24"/>
        </w:rPr>
        <w:t>,</w:t>
      </w:r>
      <w:r w:rsidR="003F2D1F" w:rsidRPr="00274CE9">
        <w:rPr>
          <w:rFonts w:cs="Arial"/>
          <w:sz w:val="24"/>
          <w:szCs w:val="24"/>
        </w:rPr>
        <w:t xml:space="preserve"> to provide clear plans that cover the management and funding of responses to regional quarantine pests (i.e. pests that are found in other Australian states but are not widespread, or absent, from WA and are of potential economic threat to WA)</w:t>
      </w:r>
      <w:r w:rsidRPr="00274CE9">
        <w:rPr>
          <w:rFonts w:cs="Arial"/>
          <w:sz w:val="24"/>
          <w:szCs w:val="24"/>
        </w:rPr>
        <w:t xml:space="preserve">. </w:t>
      </w:r>
      <w:r w:rsidR="003F2D1F" w:rsidRPr="00274CE9">
        <w:rPr>
          <w:rFonts w:cs="Arial"/>
          <w:sz w:val="24"/>
          <w:szCs w:val="24"/>
        </w:rPr>
        <w:t xml:space="preserve">As such, there is opportunity for government and industry collaboration to develop or update such plans. </w:t>
      </w:r>
      <w:r w:rsidR="003739D2" w:rsidRPr="00274CE9">
        <w:rPr>
          <w:rFonts w:cs="Arial"/>
          <w:sz w:val="24"/>
          <w:szCs w:val="24"/>
        </w:rPr>
        <w:t>These should be i</w:t>
      </w:r>
      <w:r w:rsidR="003F2D1F" w:rsidRPr="00274CE9">
        <w:rPr>
          <w:rFonts w:cs="Arial"/>
          <w:sz w:val="24"/>
          <w:szCs w:val="24"/>
        </w:rPr>
        <w:t>ndustry</w:t>
      </w:r>
      <w:r w:rsidR="003739D2" w:rsidRPr="00274CE9">
        <w:rPr>
          <w:rFonts w:cs="Arial"/>
          <w:sz w:val="24"/>
          <w:szCs w:val="24"/>
        </w:rPr>
        <w:t xml:space="preserve">-owned plans, with industry leading their development </w:t>
      </w:r>
      <w:r w:rsidR="003F2D1F" w:rsidRPr="00274CE9">
        <w:rPr>
          <w:rFonts w:cs="Arial"/>
          <w:sz w:val="24"/>
          <w:szCs w:val="24"/>
        </w:rPr>
        <w:t xml:space="preserve">and </w:t>
      </w:r>
      <w:r w:rsidR="003739D2" w:rsidRPr="00274CE9">
        <w:rPr>
          <w:rFonts w:cs="Arial"/>
          <w:sz w:val="24"/>
          <w:szCs w:val="24"/>
        </w:rPr>
        <w:t>taking responsibility</w:t>
      </w:r>
      <w:r w:rsidR="003F2D1F" w:rsidRPr="00274CE9">
        <w:rPr>
          <w:rFonts w:cs="Arial"/>
          <w:sz w:val="24"/>
          <w:szCs w:val="24"/>
        </w:rPr>
        <w:t xml:space="preserve"> if/when the plan is required to be put into action.</w:t>
      </w:r>
    </w:p>
    <w:p w14:paraId="1E125A3B" w14:textId="1478E664" w:rsidR="00992066" w:rsidRPr="00274CE9" w:rsidRDefault="00932B0E" w:rsidP="001528DB">
      <w:pPr>
        <w:spacing w:before="120"/>
        <w:rPr>
          <w:rFonts w:cs="Arial"/>
          <w:sz w:val="24"/>
          <w:szCs w:val="24"/>
        </w:rPr>
      </w:pPr>
      <w:r w:rsidRPr="00274CE9">
        <w:rPr>
          <w:sz w:val="24"/>
          <w:szCs w:val="24"/>
        </w:rPr>
        <w:t>There are two legislated mechanisms that support the collection and use of industry funds for biosecurity activity</w:t>
      </w:r>
      <w:r w:rsidR="004E25C8" w:rsidRPr="00274CE9">
        <w:rPr>
          <w:sz w:val="24"/>
          <w:szCs w:val="24"/>
        </w:rPr>
        <w:t xml:space="preserve"> in WA</w:t>
      </w:r>
      <w:r w:rsidRPr="00274CE9">
        <w:rPr>
          <w:sz w:val="24"/>
          <w:szCs w:val="24"/>
        </w:rPr>
        <w:t>—Industry Funding Schemes (IFS), under t</w:t>
      </w:r>
      <w:r w:rsidR="00906961" w:rsidRPr="00274CE9">
        <w:rPr>
          <w:sz w:val="24"/>
          <w:szCs w:val="24"/>
        </w:rPr>
        <w:t xml:space="preserve">he </w:t>
      </w:r>
      <w:r w:rsidR="00906961" w:rsidRPr="00274CE9">
        <w:rPr>
          <w:rFonts w:cs="Arial"/>
          <w:i/>
          <w:sz w:val="24"/>
          <w:szCs w:val="24"/>
        </w:rPr>
        <w:t>Biosecurity and Agriculture Management Act 2007</w:t>
      </w:r>
      <w:r w:rsidRPr="00274CE9">
        <w:rPr>
          <w:rFonts w:cs="Arial"/>
          <w:sz w:val="24"/>
          <w:szCs w:val="24"/>
        </w:rPr>
        <w:t>;</w:t>
      </w:r>
      <w:r w:rsidR="00906961" w:rsidRPr="00274CE9">
        <w:rPr>
          <w:rFonts w:cs="Arial"/>
          <w:sz w:val="24"/>
          <w:szCs w:val="24"/>
        </w:rPr>
        <w:t xml:space="preserve"> and </w:t>
      </w:r>
      <w:r w:rsidRPr="00274CE9">
        <w:rPr>
          <w:rFonts w:cs="Arial"/>
          <w:sz w:val="24"/>
          <w:szCs w:val="24"/>
        </w:rPr>
        <w:t xml:space="preserve">Agricultural Produce Commission (APC) Committees, under </w:t>
      </w:r>
      <w:r w:rsidR="00906961" w:rsidRPr="00274CE9">
        <w:rPr>
          <w:rFonts w:cs="Arial"/>
          <w:sz w:val="24"/>
          <w:szCs w:val="24"/>
        </w:rPr>
        <w:t xml:space="preserve">the </w:t>
      </w:r>
      <w:r w:rsidR="00906961" w:rsidRPr="00274CE9">
        <w:rPr>
          <w:rFonts w:cs="Arial"/>
          <w:i/>
          <w:sz w:val="24"/>
          <w:szCs w:val="24"/>
        </w:rPr>
        <w:t>Agricultural Produce Commission Act 1988</w:t>
      </w:r>
      <w:r w:rsidRPr="00274CE9">
        <w:rPr>
          <w:rFonts w:cs="Arial"/>
          <w:sz w:val="24"/>
          <w:szCs w:val="24"/>
        </w:rPr>
        <w:t xml:space="preserve">. The IFS provisions </w:t>
      </w:r>
      <w:r w:rsidR="00D11F6F" w:rsidRPr="00274CE9">
        <w:rPr>
          <w:rFonts w:cs="Arial"/>
          <w:sz w:val="24"/>
          <w:szCs w:val="24"/>
        </w:rPr>
        <w:t>enable</w:t>
      </w:r>
      <w:r w:rsidR="004E25C8" w:rsidRPr="00274CE9">
        <w:rPr>
          <w:rFonts w:cs="Arial"/>
          <w:sz w:val="24"/>
          <w:szCs w:val="24"/>
        </w:rPr>
        <w:t xml:space="preserve"> </w:t>
      </w:r>
      <w:r w:rsidR="00D11F6F" w:rsidRPr="00274CE9">
        <w:rPr>
          <w:rFonts w:cs="Arial"/>
          <w:sz w:val="24"/>
          <w:szCs w:val="24"/>
        </w:rPr>
        <w:t xml:space="preserve">industries (e.g. agriculture, </w:t>
      </w:r>
      <w:r w:rsidR="00CD74D4" w:rsidRPr="00274CE9">
        <w:rPr>
          <w:rFonts w:cs="Arial"/>
          <w:sz w:val="24"/>
          <w:szCs w:val="24"/>
        </w:rPr>
        <w:t xml:space="preserve">horticulture, </w:t>
      </w:r>
      <w:r w:rsidR="00D11F6F" w:rsidRPr="00274CE9">
        <w:rPr>
          <w:rFonts w:cs="Arial"/>
          <w:sz w:val="24"/>
          <w:szCs w:val="24"/>
        </w:rPr>
        <w:t>apiculture, aquaculture, silviculture, viticulture) to</w:t>
      </w:r>
      <w:r w:rsidR="00992066" w:rsidRPr="00274CE9">
        <w:rPr>
          <w:rFonts w:cs="Arial"/>
          <w:sz w:val="24"/>
          <w:szCs w:val="24"/>
        </w:rPr>
        <w:t xml:space="preserve"> establish </w:t>
      </w:r>
      <w:r w:rsidR="00D11F6F" w:rsidRPr="00274CE9">
        <w:rPr>
          <w:rFonts w:cs="Arial"/>
          <w:sz w:val="24"/>
          <w:szCs w:val="24"/>
        </w:rPr>
        <w:t>biosecurity funding schemes. To date, these provisions have only been u</w:t>
      </w:r>
      <w:r w:rsidR="00CD74D4" w:rsidRPr="00274CE9">
        <w:rPr>
          <w:rFonts w:cs="Arial"/>
          <w:sz w:val="24"/>
          <w:szCs w:val="24"/>
        </w:rPr>
        <w:t>sed by broad</w:t>
      </w:r>
      <w:r w:rsidR="00872B72" w:rsidRPr="00274CE9">
        <w:rPr>
          <w:rFonts w:cs="Arial"/>
          <w:sz w:val="24"/>
          <w:szCs w:val="24"/>
        </w:rPr>
        <w:t xml:space="preserve"> </w:t>
      </w:r>
      <w:r w:rsidR="00CD74D4" w:rsidRPr="00274CE9">
        <w:rPr>
          <w:rFonts w:cs="Arial"/>
          <w:sz w:val="24"/>
          <w:szCs w:val="24"/>
        </w:rPr>
        <w:t xml:space="preserve">acre cropping and </w:t>
      </w:r>
      <w:r w:rsidR="00872B72" w:rsidRPr="00274CE9">
        <w:rPr>
          <w:rFonts w:cs="Arial"/>
          <w:sz w:val="24"/>
          <w:szCs w:val="24"/>
        </w:rPr>
        <w:t>grazing</w:t>
      </w:r>
      <w:r w:rsidR="00CD74D4" w:rsidRPr="00274CE9">
        <w:rPr>
          <w:rFonts w:cs="Arial"/>
          <w:sz w:val="24"/>
          <w:szCs w:val="24"/>
        </w:rPr>
        <w:t xml:space="preserve"> industries. V</w:t>
      </w:r>
      <w:r w:rsidR="00D11F6F" w:rsidRPr="00274CE9">
        <w:rPr>
          <w:rFonts w:cs="Arial"/>
          <w:sz w:val="24"/>
          <w:szCs w:val="24"/>
        </w:rPr>
        <w:t>arious horticultural industries</w:t>
      </w:r>
      <w:r w:rsidR="00872B72" w:rsidRPr="00274CE9">
        <w:rPr>
          <w:rStyle w:val="FootnoteReference"/>
          <w:rFonts w:cs="Arial"/>
          <w:sz w:val="24"/>
          <w:szCs w:val="24"/>
        </w:rPr>
        <w:footnoteReference w:id="2"/>
      </w:r>
      <w:r w:rsidR="00D11F6F" w:rsidRPr="00274CE9">
        <w:rPr>
          <w:rFonts w:cs="Arial"/>
          <w:sz w:val="24"/>
          <w:szCs w:val="24"/>
        </w:rPr>
        <w:t xml:space="preserve"> have </w:t>
      </w:r>
      <w:r w:rsidR="00CD74D4" w:rsidRPr="00274CE9">
        <w:rPr>
          <w:rFonts w:cs="Arial"/>
          <w:sz w:val="24"/>
          <w:szCs w:val="24"/>
        </w:rPr>
        <w:t>made use of the provisions under</w:t>
      </w:r>
      <w:r w:rsidRPr="00274CE9">
        <w:rPr>
          <w:rFonts w:cs="Arial"/>
          <w:sz w:val="24"/>
          <w:szCs w:val="24"/>
        </w:rPr>
        <w:t xml:space="preserve"> the APC Act</w:t>
      </w:r>
      <w:r w:rsidR="00872B72" w:rsidRPr="00274CE9">
        <w:rPr>
          <w:rFonts w:cs="Arial"/>
          <w:sz w:val="24"/>
          <w:szCs w:val="24"/>
        </w:rPr>
        <w:t xml:space="preserve"> in order to raise industry funds for biosecurity-related activity</w:t>
      </w:r>
      <w:r w:rsidR="004E25C8" w:rsidRPr="00274CE9">
        <w:rPr>
          <w:rStyle w:val="FootnoteReference"/>
          <w:rFonts w:cs="Arial"/>
          <w:sz w:val="24"/>
          <w:szCs w:val="24"/>
        </w:rPr>
        <w:footnoteReference w:id="3"/>
      </w:r>
      <w:r w:rsidR="00CD74D4" w:rsidRPr="00274CE9">
        <w:rPr>
          <w:rFonts w:cs="Arial"/>
          <w:sz w:val="24"/>
          <w:szCs w:val="24"/>
        </w:rPr>
        <w:t>.</w:t>
      </w:r>
      <w:r w:rsidR="00872B72" w:rsidRPr="00274CE9">
        <w:rPr>
          <w:rFonts w:cs="Arial"/>
          <w:sz w:val="24"/>
          <w:szCs w:val="24"/>
        </w:rPr>
        <w:t xml:space="preserve"> The mechanisms seem to be operating well. It is expected that the IFSs and APC Committees will be asked to assume more responsibility for administering programs. As such, prioritising the industry issues will be </w:t>
      </w:r>
      <w:r w:rsidR="004E25C8" w:rsidRPr="00274CE9">
        <w:rPr>
          <w:rFonts w:cs="Arial"/>
          <w:sz w:val="24"/>
          <w:szCs w:val="24"/>
        </w:rPr>
        <w:t>necessary</w:t>
      </w:r>
      <w:r w:rsidR="00872B72" w:rsidRPr="00274CE9">
        <w:rPr>
          <w:rFonts w:cs="Arial"/>
          <w:sz w:val="24"/>
          <w:szCs w:val="24"/>
        </w:rPr>
        <w:t xml:space="preserve"> to direct</w:t>
      </w:r>
      <w:r w:rsidR="004E25C8" w:rsidRPr="00274CE9">
        <w:rPr>
          <w:rFonts w:cs="Arial"/>
          <w:sz w:val="24"/>
          <w:szCs w:val="24"/>
        </w:rPr>
        <w:t xml:space="preserve"> the limited</w:t>
      </w:r>
      <w:r w:rsidR="00872B72" w:rsidRPr="00274CE9">
        <w:rPr>
          <w:rFonts w:cs="Arial"/>
          <w:sz w:val="24"/>
          <w:szCs w:val="24"/>
        </w:rPr>
        <w:t xml:space="preserve"> industry funds to the most important areas. Furthermore, a strong understanding of the </w:t>
      </w:r>
      <w:r w:rsidR="004E25C8" w:rsidRPr="00274CE9">
        <w:rPr>
          <w:rFonts w:cs="Arial"/>
          <w:sz w:val="24"/>
          <w:szCs w:val="24"/>
        </w:rPr>
        <w:t xml:space="preserve">on-ground </w:t>
      </w:r>
      <w:r w:rsidR="00872B72" w:rsidRPr="00274CE9">
        <w:rPr>
          <w:rFonts w:cs="Arial"/>
          <w:sz w:val="24"/>
          <w:szCs w:val="24"/>
        </w:rPr>
        <w:t xml:space="preserve">actions required to deliver </w:t>
      </w:r>
      <w:r w:rsidR="004E25C8" w:rsidRPr="00274CE9">
        <w:rPr>
          <w:rFonts w:cs="Arial"/>
          <w:sz w:val="24"/>
          <w:szCs w:val="24"/>
        </w:rPr>
        <w:t>the desired outcomes will</w:t>
      </w:r>
      <w:r w:rsidR="00240A68" w:rsidRPr="00274CE9">
        <w:rPr>
          <w:rFonts w:cs="Arial"/>
          <w:sz w:val="24"/>
          <w:szCs w:val="24"/>
        </w:rPr>
        <w:t xml:space="preserve"> </w:t>
      </w:r>
      <w:r w:rsidR="004E25C8" w:rsidRPr="00274CE9">
        <w:rPr>
          <w:rFonts w:cs="Arial"/>
          <w:sz w:val="24"/>
          <w:szCs w:val="24"/>
        </w:rPr>
        <w:t>ensure</w:t>
      </w:r>
      <w:r w:rsidR="00240A68" w:rsidRPr="00274CE9">
        <w:rPr>
          <w:rFonts w:cs="Arial"/>
          <w:sz w:val="24"/>
          <w:szCs w:val="24"/>
        </w:rPr>
        <w:t xml:space="preserve"> value for money and </w:t>
      </w:r>
      <w:r w:rsidR="004E25C8" w:rsidRPr="00274CE9">
        <w:rPr>
          <w:rFonts w:cs="Arial"/>
          <w:sz w:val="24"/>
          <w:szCs w:val="24"/>
        </w:rPr>
        <w:t>effective/appropriate programs</w:t>
      </w:r>
      <w:r w:rsidR="00240A68" w:rsidRPr="00274CE9">
        <w:rPr>
          <w:rFonts w:cs="Arial"/>
          <w:sz w:val="24"/>
          <w:szCs w:val="24"/>
        </w:rPr>
        <w:t>.</w:t>
      </w:r>
    </w:p>
    <w:p w14:paraId="5192AF43" w14:textId="35F8C9BE" w:rsidR="00C3057D" w:rsidRPr="00274CE9" w:rsidRDefault="004E25C8" w:rsidP="004E25C8">
      <w:pPr>
        <w:spacing w:before="120"/>
        <w:rPr>
          <w:rFonts w:cs="Arial"/>
          <w:sz w:val="24"/>
          <w:szCs w:val="24"/>
        </w:rPr>
      </w:pPr>
      <w:r w:rsidRPr="00274CE9">
        <w:rPr>
          <w:rFonts w:cs="Arial"/>
          <w:sz w:val="24"/>
          <w:szCs w:val="24"/>
        </w:rPr>
        <w:t xml:space="preserve">Fishery industries are </w:t>
      </w:r>
      <w:r w:rsidR="001A3C05" w:rsidRPr="00274CE9">
        <w:rPr>
          <w:rFonts w:cs="Arial"/>
          <w:sz w:val="24"/>
          <w:szCs w:val="24"/>
        </w:rPr>
        <w:t>keen to be</w:t>
      </w:r>
      <w:r w:rsidRPr="00274CE9">
        <w:rPr>
          <w:rFonts w:cs="Arial"/>
          <w:sz w:val="24"/>
          <w:szCs w:val="24"/>
        </w:rPr>
        <w:t xml:space="preserve"> </w:t>
      </w:r>
      <w:r w:rsidR="001A3C05" w:rsidRPr="00274CE9">
        <w:rPr>
          <w:rFonts w:cs="Arial"/>
          <w:sz w:val="24"/>
          <w:szCs w:val="24"/>
        </w:rPr>
        <w:t>involved</w:t>
      </w:r>
      <w:r w:rsidRPr="00274CE9">
        <w:rPr>
          <w:rFonts w:cs="Arial"/>
          <w:sz w:val="24"/>
          <w:szCs w:val="24"/>
        </w:rPr>
        <w:t xml:space="preserve"> in the biosecurity dialogue, and</w:t>
      </w:r>
      <w:r w:rsidR="001A3C05" w:rsidRPr="00274CE9">
        <w:rPr>
          <w:rFonts w:cs="Arial"/>
          <w:sz w:val="24"/>
          <w:szCs w:val="24"/>
        </w:rPr>
        <w:t xml:space="preserve"> feel that they have been neglected in the</w:t>
      </w:r>
      <w:r w:rsidRPr="00274CE9">
        <w:rPr>
          <w:rFonts w:cs="Arial"/>
          <w:sz w:val="24"/>
          <w:szCs w:val="24"/>
        </w:rPr>
        <w:t xml:space="preserve"> decision</w:t>
      </w:r>
      <w:r w:rsidR="001A3C05" w:rsidRPr="00274CE9">
        <w:rPr>
          <w:rFonts w:cs="Arial"/>
          <w:sz w:val="24"/>
          <w:szCs w:val="24"/>
        </w:rPr>
        <w:t>/strategy</w:t>
      </w:r>
      <w:r w:rsidRPr="00274CE9">
        <w:rPr>
          <w:rFonts w:cs="Arial"/>
          <w:sz w:val="24"/>
          <w:szCs w:val="24"/>
        </w:rPr>
        <w:t>-making process</w:t>
      </w:r>
      <w:r w:rsidR="001A3C05" w:rsidRPr="00274CE9">
        <w:rPr>
          <w:rFonts w:cs="Arial"/>
          <w:sz w:val="24"/>
          <w:szCs w:val="24"/>
        </w:rPr>
        <w:t>es. However, this did not seem to be echoed by government who believed they have built and maintain a strong collaborative approach to biosecurity with industry. The disconnect appears to be related to the industry targeted by government—that is, there has be</w:t>
      </w:r>
      <w:r w:rsidR="003739D2" w:rsidRPr="00274CE9">
        <w:rPr>
          <w:rFonts w:cs="Arial"/>
          <w:sz w:val="24"/>
          <w:szCs w:val="24"/>
        </w:rPr>
        <w:t>en</w:t>
      </w:r>
      <w:r w:rsidR="001A3C05" w:rsidRPr="00274CE9">
        <w:rPr>
          <w:rFonts w:cs="Arial"/>
          <w:sz w:val="24"/>
          <w:szCs w:val="24"/>
        </w:rPr>
        <w:t xml:space="preserve"> a deliberative focus </w:t>
      </w:r>
      <w:r w:rsidR="00B23DEA">
        <w:rPr>
          <w:rFonts w:cs="Arial"/>
          <w:sz w:val="24"/>
          <w:szCs w:val="24"/>
        </w:rPr>
        <w:t xml:space="preserve">by government </w:t>
      </w:r>
      <w:r w:rsidR="001A3C05" w:rsidRPr="00274CE9">
        <w:rPr>
          <w:rFonts w:cs="Arial"/>
          <w:sz w:val="24"/>
          <w:szCs w:val="24"/>
        </w:rPr>
        <w:t>on the risk creators (e.g. shipping) rather than the beneficiaries (e.g. fisheries).</w:t>
      </w:r>
      <w:r w:rsidR="00937E4C" w:rsidRPr="00274CE9">
        <w:rPr>
          <w:rFonts w:cs="Arial"/>
          <w:sz w:val="24"/>
          <w:szCs w:val="24"/>
        </w:rPr>
        <w:t xml:space="preserve"> Although this may reflect the results of government prioritisation </w:t>
      </w:r>
      <w:r w:rsidR="00937E4C" w:rsidRPr="00274CE9">
        <w:rPr>
          <w:rFonts w:cs="Arial"/>
          <w:sz w:val="24"/>
          <w:szCs w:val="24"/>
        </w:rPr>
        <w:lastRenderedPageBreak/>
        <w:t>process, it must be recognised that the fisheries are keen for more collaboration, communication and consultation with government, and that this can have very beneficial biosecurity outcomes.</w:t>
      </w:r>
    </w:p>
    <w:p w14:paraId="744E6A4C" w14:textId="77777777" w:rsidR="00C3057D" w:rsidRPr="00274CE9" w:rsidRDefault="00C3057D" w:rsidP="00937A06">
      <w:pPr>
        <w:spacing w:before="120"/>
        <w:rPr>
          <w:rFonts w:cs="Arial"/>
          <w:i/>
          <w:sz w:val="24"/>
          <w:szCs w:val="24"/>
        </w:rPr>
      </w:pPr>
      <w:r w:rsidRPr="00274CE9">
        <w:rPr>
          <w:rFonts w:cs="Arial"/>
          <w:i/>
          <w:sz w:val="24"/>
          <w:szCs w:val="24"/>
        </w:rPr>
        <w:t>Where is community at?</w:t>
      </w:r>
    </w:p>
    <w:p w14:paraId="50AD7151" w14:textId="1F902BA8" w:rsidR="006C3D4B" w:rsidRPr="00274CE9" w:rsidRDefault="00937E4C" w:rsidP="006C3D4B">
      <w:pPr>
        <w:spacing w:before="120"/>
        <w:rPr>
          <w:rFonts w:cs="Arial"/>
          <w:sz w:val="24"/>
          <w:szCs w:val="24"/>
        </w:rPr>
      </w:pPr>
      <w:r w:rsidRPr="00274CE9">
        <w:rPr>
          <w:rFonts w:cs="Arial"/>
          <w:sz w:val="24"/>
          <w:szCs w:val="24"/>
        </w:rPr>
        <w:t>Community-based biosecurity action is evident primarily through the activities of volunteer groups that may receive funding (such as Landcare) or work alongside larger organisations.</w:t>
      </w:r>
      <w:r w:rsidR="006C3D4B" w:rsidRPr="00274CE9">
        <w:rPr>
          <w:rFonts w:cs="Arial"/>
          <w:sz w:val="24"/>
          <w:szCs w:val="24"/>
        </w:rPr>
        <w:t xml:space="preserve"> Additionally, the </w:t>
      </w:r>
      <w:r w:rsidR="006C3D4B" w:rsidRPr="00274CE9">
        <w:rPr>
          <w:rFonts w:cs="Arial"/>
          <w:i/>
          <w:sz w:val="24"/>
          <w:szCs w:val="24"/>
        </w:rPr>
        <w:t xml:space="preserve">Biosecurity and Agriculture Management Act 2007 </w:t>
      </w:r>
      <w:r w:rsidR="006C3D4B" w:rsidRPr="00274CE9">
        <w:rPr>
          <w:rFonts w:cs="Arial"/>
          <w:sz w:val="24"/>
          <w:szCs w:val="24"/>
        </w:rPr>
        <w:t>enables community groups (for example) to become ‘recognised’. These Recognised Biosecurity Groups (RBGs) are able to access funds from the Declared Pest Account, which includes rates collected from the community that are matched dollar-for-dollar by government, to undertake biosecurity activities.</w:t>
      </w:r>
    </w:p>
    <w:p w14:paraId="6F63E83B" w14:textId="0641E10A" w:rsidR="000B4242" w:rsidRPr="00274CE9" w:rsidRDefault="006C3D4B" w:rsidP="000B4242">
      <w:pPr>
        <w:spacing w:before="120"/>
        <w:rPr>
          <w:sz w:val="24"/>
          <w:szCs w:val="24"/>
        </w:rPr>
      </w:pPr>
      <w:r w:rsidRPr="00274CE9">
        <w:rPr>
          <w:sz w:val="24"/>
          <w:szCs w:val="24"/>
        </w:rPr>
        <w:t>The five p</w:t>
      </w:r>
      <w:r w:rsidR="00C3057D" w:rsidRPr="00274CE9">
        <w:rPr>
          <w:sz w:val="24"/>
          <w:szCs w:val="24"/>
        </w:rPr>
        <w:t xml:space="preserve">astoral RBGs have </w:t>
      </w:r>
      <w:r w:rsidR="003739D2" w:rsidRPr="00274CE9">
        <w:rPr>
          <w:sz w:val="24"/>
          <w:szCs w:val="24"/>
        </w:rPr>
        <w:t>progressed</w:t>
      </w:r>
      <w:r w:rsidR="00C3057D" w:rsidRPr="00274CE9">
        <w:rPr>
          <w:sz w:val="24"/>
          <w:szCs w:val="24"/>
        </w:rPr>
        <w:t xml:space="preserve"> rapidly over the past few months, assisted by leadership change and </w:t>
      </w:r>
      <w:r w:rsidR="000B4242" w:rsidRPr="00274CE9">
        <w:rPr>
          <w:sz w:val="24"/>
          <w:szCs w:val="24"/>
        </w:rPr>
        <w:t>proactive engagement between the groups</w:t>
      </w:r>
      <w:r w:rsidR="00C3057D" w:rsidRPr="00274CE9">
        <w:rPr>
          <w:sz w:val="24"/>
          <w:szCs w:val="24"/>
        </w:rPr>
        <w:t xml:space="preserve">. </w:t>
      </w:r>
      <w:r w:rsidR="000B4242" w:rsidRPr="00274CE9">
        <w:rPr>
          <w:sz w:val="24"/>
          <w:szCs w:val="24"/>
        </w:rPr>
        <w:t>These g</w:t>
      </w:r>
      <w:r w:rsidR="00C3057D" w:rsidRPr="00274CE9">
        <w:rPr>
          <w:sz w:val="24"/>
          <w:szCs w:val="24"/>
        </w:rPr>
        <w:t xml:space="preserve">roups are setting their own priorities and programs. There is one </w:t>
      </w:r>
      <w:r w:rsidR="000B4242" w:rsidRPr="00274CE9">
        <w:rPr>
          <w:sz w:val="24"/>
          <w:szCs w:val="24"/>
        </w:rPr>
        <w:t xml:space="preserve">RBG in the </w:t>
      </w:r>
      <w:r w:rsidR="00C3057D" w:rsidRPr="00274CE9">
        <w:rPr>
          <w:sz w:val="24"/>
          <w:szCs w:val="24"/>
        </w:rPr>
        <w:t xml:space="preserve">agricultural </w:t>
      </w:r>
      <w:r w:rsidR="000B4242" w:rsidRPr="00274CE9">
        <w:rPr>
          <w:sz w:val="24"/>
          <w:szCs w:val="24"/>
        </w:rPr>
        <w:t xml:space="preserve">zone </w:t>
      </w:r>
      <w:r w:rsidR="00BC534A" w:rsidRPr="00274CE9">
        <w:rPr>
          <w:sz w:val="24"/>
          <w:szCs w:val="24"/>
        </w:rPr>
        <w:t>(i.e. south</w:t>
      </w:r>
      <w:r w:rsidR="000D59A3" w:rsidRPr="00274CE9">
        <w:rPr>
          <w:sz w:val="24"/>
          <w:szCs w:val="24"/>
        </w:rPr>
        <w:t>-</w:t>
      </w:r>
      <w:r w:rsidR="00BC534A" w:rsidRPr="00274CE9">
        <w:rPr>
          <w:sz w:val="24"/>
          <w:szCs w:val="24"/>
        </w:rPr>
        <w:t>west</w:t>
      </w:r>
      <w:r w:rsidR="003739D2" w:rsidRPr="00274CE9">
        <w:rPr>
          <w:sz w:val="24"/>
          <w:szCs w:val="24"/>
        </w:rPr>
        <w:t xml:space="preserve"> land division</w:t>
      </w:r>
      <w:r w:rsidR="00BC534A" w:rsidRPr="00274CE9">
        <w:rPr>
          <w:sz w:val="24"/>
          <w:szCs w:val="24"/>
        </w:rPr>
        <w:t>)</w:t>
      </w:r>
      <w:r w:rsidR="003739D2" w:rsidRPr="00274CE9">
        <w:rPr>
          <w:sz w:val="24"/>
          <w:szCs w:val="24"/>
        </w:rPr>
        <w:t>, which evolved from a former Declared Species Group,</w:t>
      </w:r>
      <w:r w:rsidR="00BC534A" w:rsidRPr="00274CE9">
        <w:rPr>
          <w:sz w:val="24"/>
          <w:szCs w:val="24"/>
        </w:rPr>
        <w:t xml:space="preserve"> </w:t>
      </w:r>
      <w:r w:rsidR="00C3057D" w:rsidRPr="00274CE9">
        <w:rPr>
          <w:sz w:val="24"/>
          <w:szCs w:val="24"/>
        </w:rPr>
        <w:t>and others on their way, triggered by single species threats.</w:t>
      </w:r>
    </w:p>
    <w:p w14:paraId="11E53B90" w14:textId="0EE6B674" w:rsidR="000B4242" w:rsidRPr="00274CE9" w:rsidRDefault="00C3057D" w:rsidP="000B4242">
      <w:pPr>
        <w:spacing w:before="120"/>
        <w:rPr>
          <w:sz w:val="24"/>
          <w:szCs w:val="24"/>
        </w:rPr>
      </w:pPr>
      <w:r w:rsidRPr="00274CE9">
        <w:rPr>
          <w:sz w:val="24"/>
          <w:szCs w:val="24"/>
        </w:rPr>
        <w:t xml:space="preserve">There is enthusiasm for RBG development in the south-west, but there is </w:t>
      </w:r>
      <w:r w:rsidR="00BC534A" w:rsidRPr="00274CE9">
        <w:rPr>
          <w:sz w:val="24"/>
          <w:szCs w:val="24"/>
        </w:rPr>
        <w:t xml:space="preserve">also </w:t>
      </w:r>
      <w:r w:rsidRPr="00274CE9">
        <w:rPr>
          <w:sz w:val="24"/>
          <w:szCs w:val="24"/>
        </w:rPr>
        <w:t xml:space="preserve">concern about </w:t>
      </w:r>
      <w:r w:rsidR="003739D2" w:rsidRPr="00274CE9">
        <w:rPr>
          <w:sz w:val="24"/>
          <w:szCs w:val="24"/>
        </w:rPr>
        <w:t xml:space="preserve">imposing </w:t>
      </w:r>
      <w:r w:rsidRPr="00274CE9">
        <w:rPr>
          <w:sz w:val="24"/>
          <w:szCs w:val="24"/>
        </w:rPr>
        <w:t xml:space="preserve">the rate </w:t>
      </w:r>
      <w:r w:rsidR="003739D2" w:rsidRPr="00274CE9">
        <w:rPr>
          <w:sz w:val="24"/>
          <w:szCs w:val="24"/>
        </w:rPr>
        <w:t xml:space="preserve">on landholders </w:t>
      </w:r>
      <w:r w:rsidRPr="00274CE9">
        <w:rPr>
          <w:sz w:val="24"/>
          <w:szCs w:val="24"/>
        </w:rPr>
        <w:t xml:space="preserve">and local government fears cost-shifting. </w:t>
      </w:r>
      <w:r w:rsidR="000B4242" w:rsidRPr="00274CE9">
        <w:rPr>
          <w:sz w:val="24"/>
          <w:szCs w:val="24"/>
        </w:rPr>
        <w:t xml:space="preserve">Such concerns </w:t>
      </w:r>
      <w:r w:rsidRPr="00274CE9">
        <w:rPr>
          <w:sz w:val="24"/>
          <w:szCs w:val="24"/>
        </w:rPr>
        <w:t>should be</w:t>
      </w:r>
      <w:r w:rsidR="000B4242" w:rsidRPr="00274CE9">
        <w:rPr>
          <w:sz w:val="24"/>
          <w:szCs w:val="24"/>
        </w:rPr>
        <w:t>come</w:t>
      </w:r>
      <w:r w:rsidRPr="00274CE9">
        <w:rPr>
          <w:sz w:val="24"/>
          <w:szCs w:val="24"/>
        </w:rPr>
        <w:t xml:space="preserve"> clearer during the consultation </w:t>
      </w:r>
      <w:r w:rsidR="000B4242" w:rsidRPr="00274CE9">
        <w:rPr>
          <w:sz w:val="24"/>
          <w:szCs w:val="24"/>
        </w:rPr>
        <w:t xml:space="preserve">that must be undertaken prior to implementing a rate. If the RBG mechanism, as it currently stands, is </w:t>
      </w:r>
      <w:r w:rsidRPr="00274CE9">
        <w:rPr>
          <w:sz w:val="24"/>
          <w:szCs w:val="24"/>
        </w:rPr>
        <w:t>not going to work</w:t>
      </w:r>
      <w:r w:rsidR="000B4242" w:rsidRPr="00274CE9">
        <w:rPr>
          <w:sz w:val="24"/>
          <w:szCs w:val="24"/>
        </w:rPr>
        <w:t xml:space="preserve"> within the south-west</w:t>
      </w:r>
      <w:r w:rsidRPr="00274CE9">
        <w:rPr>
          <w:sz w:val="24"/>
          <w:szCs w:val="24"/>
        </w:rPr>
        <w:t xml:space="preserve">, </w:t>
      </w:r>
      <w:r w:rsidR="000B4242" w:rsidRPr="00274CE9">
        <w:rPr>
          <w:sz w:val="24"/>
          <w:szCs w:val="24"/>
        </w:rPr>
        <w:t>appropriate changes to the legislation can be explored during the review of the Act.</w:t>
      </w:r>
    </w:p>
    <w:p w14:paraId="039F80EA" w14:textId="4FE2E0A6" w:rsidR="000D59A3" w:rsidRPr="00274CE9" w:rsidRDefault="000D59A3" w:rsidP="000D59A3">
      <w:pPr>
        <w:spacing w:before="120"/>
        <w:rPr>
          <w:sz w:val="24"/>
          <w:szCs w:val="24"/>
        </w:rPr>
      </w:pPr>
      <w:r w:rsidRPr="00274CE9">
        <w:rPr>
          <w:sz w:val="24"/>
          <w:szCs w:val="24"/>
        </w:rPr>
        <w:t>The discussion regarding RBG implementation in the south-west has raised q</w:t>
      </w:r>
      <w:r w:rsidR="00BC534A" w:rsidRPr="00274CE9">
        <w:rPr>
          <w:rFonts w:cs="Arial"/>
          <w:sz w:val="24"/>
          <w:szCs w:val="24"/>
        </w:rPr>
        <w:t>u</w:t>
      </w:r>
      <w:r w:rsidRPr="00274CE9">
        <w:rPr>
          <w:rFonts w:cs="Arial"/>
          <w:sz w:val="24"/>
          <w:szCs w:val="24"/>
        </w:rPr>
        <w:t>estions about scale and boundaries—e.g. w</w:t>
      </w:r>
      <w:r w:rsidR="00BC534A" w:rsidRPr="00274CE9">
        <w:rPr>
          <w:rFonts w:cs="Arial"/>
          <w:sz w:val="24"/>
          <w:szCs w:val="24"/>
        </w:rPr>
        <w:t xml:space="preserve">here is the boundary between ‘community’ and ‘industry’, or </w:t>
      </w:r>
      <w:r w:rsidR="003739D2" w:rsidRPr="00274CE9">
        <w:rPr>
          <w:rFonts w:cs="Arial"/>
          <w:sz w:val="24"/>
          <w:szCs w:val="24"/>
        </w:rPr>
        <w:t>between agricultural land use</w:t>
      </w:r>
      <w:r w:rsidR="00BC534A" w:rsidRPr="00274CE9">
        <w:rPr>
          <w:rFonts w:cs="Arial"/>
          <w:sz w:val="24"/>
          <w:szCs w:val="24"/>
        </w:rPr>
        <w:t xml:space="preserve"> and peri-urban?</w:t>
      </w:r>
      <w:r w:rsidRPr="00274CE9">
        <w:rPr>
          <w:rFonts w:cs="Arial"/>
          <w:sz w:val="24"/>
          <w:szCs w:val="24"/>
        </w:rPr>
        <w:t xml:space="preserve"> Furthermore, RBGs appear to be forming to address single issues, </w:t>
      </w:r>
      <w:r w:rsidR="00A75EE2" w:rsidRPr="00274CE9">
        <w:rPr>
          <w:rFonts w:cs="Arial"/>
          <w:sz w:val="24"/>
          <w:szCs w:val="24"/>
        </w:rPr>
        <w:t xml:space="preserve">such as wild dogs or cotton bush, </w:t>
      </w:r>
      <w:r w:rsidRPr="00274CE9">
        <w:rPr>
          <w:rFonts w:cs="Arial"/>
          <w:sz w:val="24"/>
          <w:szCs w:val="24"/>
        </w:rPr>
        <w:t>but whether this is an effective use of an RBG is debatable. Having said that, a single, common issue may be the key to</w:t>
      </w:r>
      <w:r w:rsidR="00BC534A" w:rsidRPr="00274CE9">
        <w:rPr>
          <w:sz w:val="24"/>
          <w:szCs w:val="24"/>
        </w:rPr>
        <w:t xml:space="preserve"> unite the group</w:t>
      </w:r>
      <w:r w:rsidRPr="00274CE9">
        <w:rPr>
          <w:sz w:val="24"/>
          <w:szCs w:val="24"/>
        </w:rPr>
        <w:t xml:space="preserve"> and get them started. As they mature they can then consider </w:t>
      </w:r>
      <w:r w:rsidR="00BC534A" w:rsidRPr="00274CE9">
        <w:rPr>
          <w:sz w:val="24"/>
          <w:szCs w:val="24"/>
        </w:rPr>
        <w:t>priority set</w:t>
      </w:r>
      <w:r w:rsidRPr="00274CE9">
        <w:rPr>
          <w:sz w:val="24"/>
          <w:szCs w:val="24"/>
        </w:rPr>
        <w:t xml:space="preserve">ting, risk-based decisions and </w:t>
      </w:r>
      <w:r w:rsidR="00A75EE2" w:rsidRPr="00274CE9">
        <w:rPr>
          <w:sz w:val="24"/>
          <w:szCs w:val="24"/>
        </w:rPr>
        <w:t>a more strategic approach</w:t>
      </w:r>
      <w:r w:rsidR="00BC534A" w:rsidRPr="00274CE9">
        <w:rPr>
          <w:sz w:val="24"/>
          <w:szCs w:val="24"/>
        </w:rPr>
        <w:t>.</w:t>
      </w:r>
    </w:p>
    <w:p w14:paraId="7424549F" w14:textId="23EB2653" w:rsidR="00355EC5" w:rsidRDefault="000D59A3" w:rsidP="00355EC5">
      <w:pPr>
        <w:spacing w:before="120"/>
        <w:rPr>
          <w:sz w:val="24"/>
          <w:szCs w:val="24"/>
        </w:rPr>
      </w:pPr>
      <w:r w:rsidRPr="00274CE9">
        <w:rPr>
          <w:sz w:val="24"/>
          <w:szCs w:val="24"/>
        </w:rPr>
        <w:t xml:space="preserve">From the Council’s perspective, </w:t>
      </w:r>
      <w:r w:rsidR="00BC534A" w:rsidRPr="00274CE9">
        <w:rPr>
          <w:sz w:val="24"/>
          <w:szCs w:val="24"/>
        </w:rPr>
        <w:t>RBGs are important in facilitating community ownership and participation in biosecurity.</w:t>
      </w:r>
      <w:r w:rsidR="0032776C" w:rsidRPr="00274CE9">
        <w:rPr>
          <w:sz w:val="24"/>
          <w:szCs w:val="24"/>
        </w:rPr>
        <w:t xml:space="preserve"> However, the generous involvement of government in developing RBGs in the south-west should be time-bound (i.e. </w:t>
      </w:r>
      <w:r w:rsidR="00A75EE2" w:rsidRPr="00274CE9">
        <w:rPr>
          <w:sz w:val="24"/>
          <w:szCs w:val="24"/>
        </w:rPr>
        <w:t xml:space="preserve">limited to </w:t>
      </w:r>
      <w:r w:rsidR="0032776C" w:rsidRPr="00274CE9">
        <w:rPr>
          <w:sz w:val="24"/>
          <w:szCs w:val="24"/>
        </w:rPr>
        <w:t xml:space="preserve">the length of the current project funded through Royalties for Regions) and, during this period, a strong emphasis placed on </w:t>
      </w:r>
      <w:r w:rsidR="00A75EE2" w:rsidRPr="00274CE9">
        <w:rPr>
          <w:sz w:val="24"/>
          <w:szCs w:val="24"/>
        </w:rPr>
        <w:t xml:space="preserve">capacity building and </w:t>
      </w:r>
      <w:r w:rsidR="0032776C" w:rsidRPr="00274CE9">
        <w:rPr>
          <w:sz w:val="24"/>
          <w:szCs w:val="24"/>
        </w:rPr>
        <w:t>learning</w:t>
      </w:r>
      <w:r w:rsidR="002A6017">
        <w:rPr>
          <w:sz w:val="24"/>
          <w:szCs w:val="24"/>
        </w:rPr>
        <w:t>,</w:t>
      </w:r>
      <w:r w:rsidR="0032776C" w:rsidRPr="00274CE9">
        <w:rPr>
          <w:sz w:val="24"/>
          <w:szCs w:val="24"/>
        </w:rPr>
        <w:t xml:space="preserve"> including being open to different approaches, policy development and evaluation.</w:t>
      </w:r>
    </w:p>
    <w:p w14:paraId="0B0FED47" w14:textId="77777777" w:rsidR="000B7410" w:rsidRDefault="000B7410">
      <w:pPr>
        <w:spacing w:line="240" w:lineRule="auto"/>
        <w:jc w:val="center"/>
        <w:rPr>
          <w:sz w:val="24"/>
          <w:szCs w:val="24"/>
        </w:rPr>
      </w:pPr>
      <w:r>
        <w:rPr>
          <w:sz w:val="24"/>
          <w:szCs w:val="24"/>
        </w:rPr>
        <w:br w:type="page"/>
      </w:r>
    </w:p>
    <w:p w14:paraId="73AC05D2" w14:textId="681F125A" w:rsidR="00C3057D" w:rsidRPr="00274CE9" w:rsidRDefault="000B4242" w:rsidP="000B4242">
      <w:pPr>
        <w:spacing w:before="120"/>
        <w:rPr>
          <w:sz w:val="24"/>
          <w:szCs w:val="24"/>
        </w:rPr>
      </w:pPr>
      <w:r w:rsidRPr="00274CE9">
        <w:rPr>
          <w:sz w:val="24"/>
          <w:szCs w:val="24"/>
        </w:rPr>
        <w:lastRenderedPageBreak/>
        <w:t xml:space="preserve">State-wide, there are </w:t>
      </w:r>
      <w:r w:rsidR="00C3057D" w:rsidRPr="00274CE9">
        <w:rPr>
          <w:sz w:val="24"/>
          <w:szCs w:val="24"/>
        </w:rPr>
        <w:t>policy issues around RBGs that need to be addressed:</w:t>
      </w:r>
    </w:p>
    <w:p w14:paraId="1F45CAA1" w14:textId="65B3D53D" w:rsidR="00C3057D" w:rsidRPr="00274CE9" w:rsidRDefault="0022732F" w:rsidP="000B4242">
      <w:pPr>
        <w:pStyle w:val="ListParagraph"/>
        <w:numPr>
          <w:ilvl w:val="0"/>
          <w:numId w:val="11"/>
        </w:numPr>
        <w:spacing w:before="120"/>
        <w:rPr>
          <w:rFonts w:cs="Arial"/>
          <w:sz w:val="24"/>
          <w:szCs w:val="24"/>
        </w:rPr>
      </w:pPr>
      <w:r w:rsidRPr="00274CE9">
        <w:rPr>
          <w:rFonts w:cs="Arial"/>
          <w:sz w:val="24"/>
          <w:szCs w:val="24"/>
        </w:rPr>
        <w:t xml:space="preserve">There is a need to be clear about ‘benefit’ and ‘responsibility’. </w:t>
      </w:r>
      <w:r w:rsidR="000B4242" w:rsidRPr="00274CE9">
        <w:rPr>
          <w:rFonts w:cs="Arial"/>
          <w:sz w:val="24"/>
          <w:szCs w:val="24"/>
        </w:rPr>
        <w:t xml:space="preserve">RBGs are established </w:t>
      </w:r>
      <w:r w:rsidRPr="00274CE9">
        <w:rPr>
          <w:rFonts w:cs="Arial"/>
          <w:sz w:val="24"/>
          <w:szCs w:val="24"/>
        </w:rPr>
        <w:t>primarily to</w:t>
      </w:r>
      <w:r w:rsidR="000B4242" w:rsidRPr="00274CE9">
        <w:rPr>
          <w:rFonts w:cs="Arial"/>
          <w:sz w:val="24"/>
          <w:szCs w:val="24"/>
        </w:rPr>
        <w:t xml:space="preserve"> address landscape-scale biosecurity priorities of the community</w:t>
      </w:r>
      <w:r w:rsidRPr="00274CE9">
        <w:rPr>
          <w:rFonts w:cs="Arial"/>
          <w:sz w:val="24"/>
          <w:szCs w:val="24"/>
        </w:rPr>
        <w:t xml:space="preserve">, and should not be used to primarily address issues affecting business profitability or productivity unless these are also of community concern. </w:t>
      </w:r>
      <w:r w:rsidR="00BC534A" w:rsidRPr="00274CE9">
        <w:rPr>
          <w:rFonts w:cs="Arial"/>
          <w:sz w:val="24"/>
          <w:szCs w:val="24"/>
        </w:rPr>
        <w:t>It is important for communities to identify the priority issues—funds should not be used for low priorities.</w:t>
      </w:r>
    </w:p>
    <w:p w14:paraId="4B7867A7" w14:textId="53FD90B6" w:rsidR="004477D4" w:rsidRPr="00274CE9" w:rsidRDefault="004477D4" w:rsidP="004477D4">
      <w:pPr>
        <w:pStyle w:val="ListParagraph"/>
        <w:numPr>
          <w:ilvl w:val="0"/>
          <w:numId w:val="11"/>
        </w:numPr>
        <w:spacing w:before="120"/>
        <w:rPr>
          <w:rFonts w:cs="Arial"/>
          <w:sz w:val="24"/>
          <w:szCs w:val="24"/>
        </w:rPr>
      </w:pPr>
      <w:r w:rsidRPr="00274CE9">
        <w:rPr>
          <w:rFonts w:cs="Arial"/>
          <w:sz w:val="24"/>
          <w:szCs w:val="24"/>
        </w:rPr>
        <w:t xml:space="preserve">There </w:t>
      </w:r>
      <w:r w:rsidR="00BC534A" w:rsidRPr="00274CE9">
        <w:rPr>
          <w:rFonts w:cs="Arial"/>
          <w:sz w:val="24"/>
          <w:szCs w:val="24"/>
        </w:rPr>
        <w:t>are</w:t>
      </w:r>
      <w:r w:rsidRPr="00274CE9">
        <w:rPr>
          <w:rFonts w:cs="Arial"/>
          <w:sz w:val="24"/>
          <w:szCs w:val="24"/>
        </w:rPr>
        <w:t xml:space="preserve"> potential issues around government matching funds to target low-priority organisms and how this aligns with current government policy. With the constraints on government funding, it is important the funds accessed by RBGs from the Declared Pest Account are only used for ac</w:t>
      </w:r>
      <w:r w:rsidR="00B23DEA">
        <w:rPr>
          <w:rFonts w:cs="Arial"/>
          <w:sz w:val="24"/>
          <w:szCs w:val="24"/>
        </w:rPr>
        <w:t>tivities that are in the public</w:t>
      </w:r>
      <w:r w:rsidRPr="00274CE9">
        <w:rPr>
          <w:rFonts w:cs="Arial"/>
          <w:sz w:val="24"/>
          <w:szCs w:val="24"/>
        </w:rPr>
        <w:t xml:space="preserve"> interest since these are public funds.</w:t>
      </w:r>
    </w:p>
    <w:p w14:paraId="3A05A891" w14:textId="371A3E28" w:rsidR="00C3057D" w:rsidRPr="00274CE9" w:rsidRDefault="004477D4" w:rsidP="000B4242">
      <w:pPr>
        <w:pStyle w:val="ListParagraph"/>
        <w:numPr>
          <w:ilvl w:val="0"/>
          <w:numId w:val="11"/>
        </w:numPr>
        <w:spacing w:before="120"/>
        <w:rPr>
          <w:rFonts w:cs="Arial"/>
          <w:sz w:val="24"/>
          <w:szCs w:val="24"/>
        </w:rPr>
      </w:pPr>
      <w:r w:rsidRPr="00274CE9">
        <w:rPr>
          <w:rFonts w:cs="Arial"/>
          <w:sz w:val="24"/>
          <w:szCs w:val="24"/>
        </w:rPr>
        <w:t>T</w:t>
      </w:r>
      <w:r w:rsidR="00C3057D" w:rsidRPr="00274CE9">
        <w:rPr>
          <w:rFonts w:cs="Arial"/>
          <w:sz w:val="24"/>
          <w:szCs w:val="24"/>
        </w:rPr>
        <w:t>here is a limit to the amount of funding government can match</w:t>
      </w:r>
      <w:r w:rsidRPr="00274CE9">
        <w:rPr>
          <w:rFonts w:cs="Arial"/>
          <w:sz w:val="24"/>
          <w:szCs w:val="24"/>
        </w:rPr>
        <w:t>. There is a risk of increasing numbers of RBGs applying for increasingly greater amounts of funding. It is important for government to identify the limits of the model and monitor implementation closely to ensure its longevity</w:t>
      </w:r>
      <w:r w:rsidR="00C3057D" w:rsidRPr="00274CE9">
        <w:rPr>
          <w:rFonts w:cs="Arial"/>
          <w:sz w:val="24"/>
          <w:szCs w:val="24"/>
        </w:rPr>
        <w:t>.</w:t>
      </w:r>
    </w:p>
    <w:p w14:paraId="7AAB0A16" w14:textId="77777777" w:rsidR="00BC534A" w:rsidRPr="00274CE9" w:rsidRDefault="00C3057D" w:rsidP="00BC534A">
      <w:pPr>
        <w:pStyle w:val="ListParagraph"/>
        <w:numPr>
          <w:ilvl w:val="0"/>
          <w:numId w:val="11"/>
        </w:numPr>
        <w:spacing w:before="120"/>
        <w:rPr>
          <w:rFonts w:cs="Arial"/>
          <w:sz w:val="24"/>
          <w:szCs w:val="24"/>
        </w:rPr>
      </w:pPr>
      <w:r w:rsidRPr="00274CE9">
        <w:rPr>
          <w:rFonts w:cs="Arial"/>
          <w:sz w:val="24"/>
          <w:szCs w:val="24"/>
        </w:rPr>
        <w:t>Compliance was viewed as a big issue in the agricultural areas</w:t>
      </w:r>
      <w:r w:rsidR="004477D4" w:rsidRPr="00274CE9">
        <w:rPr>
          <w:rFonts w:cs="Arial"/>
          <w:sz w:val="24"/>
          <w:szCs w:val="24"/>
        </w:rPr>
        <w:t>—</w:t>
      </w:r>
      <w:r w:rsidRPr="00274CE9">
        <w:rPr>
          <w:rFonts w:cs="Arial"/>
          <w:sz w:val="24"/>
          <w:szCs w:val="24"/>
        </w:rPr>
        <w:t>if communities are going to invest</w:t>
      </w:r>
      <w:r w:rsidR="004477D4" w:rsidRPr="00274CE9">
        <w:rPr>
          <w:rFonts w:cs="Arial"/>
          <w:sz w:val="24"/>
          <w:szCs w:val="24"/>
        </w:rPr>
        <w:t xml:space="preserve"> community</w:t>
      </w:r>
      <w:r w:rsidRPr="00274CE9">
        <w:rPr>
          <w:rFonts w:cs="Arial"/>
          <w:sz w:val="24"/>
          <w:szCs w:val="24"/>
        </w:rPr>
        <w:t xml:space="preserve"> </w:t>
      </w:r>
      <w:r w:rsidR="004477D4" w:rsidRPr="00274CE9">
        <w:rPr>
          <w:rFonts w:cs="Arial"/>
          <w:sz w:val="24"/>
          <w:szCs w:val="24"/>
        </w:rPr>
        <w:t xml:space="preserve">funds (i.e. rates) </w:t>
      </w:r>
      <w:r w:rsidRPr="00274CE9">
        <w:rPr>
          <w:rFonts w:cs="Arial"/>
          <w:sz w:val="24"/>
          <w:szCs w:val="24"/>
        </w:rPr>
        <w:t>in programs targeting declared pests, then it is important that compliance work is undertaken</w:t>
      </w:r>
      <w:r w:rsidR="004477D4" w:rsidRPr="00274CE9">
        <w:rPr>
          <w:rFonts w:cs="Arial"/>
          <w:sz w:val="24"/>
          <w:szCs w:val="24"/>
        </w:rPr>
        <w:t xml:space="preserve"> as this would improve program effectiveness</w:t>
      </w:r>
      <w:r w:rsidRPr="00274CE9">
        <w:rPr>
          <w:rFonts w:cs="Arial"/>
          <w:sz w:val="24"/>
          <w:szCs w:val="24"/>
        </w:rPr>
        <w:t>. There are opportunities for local government officers to be trained and undertake compliance activities under the Act.</w:t>
      </w:r>
    </w:p>
    <w:p w14:paraId="4880BF7C" w14:textId="349F2C7D" w:rsidR="00C3057D" w:rsidRPr="00274CE9" w:rsidRDefault="00C3057D" w:rsidP="0078442D">
      <w:pPr>
        <w:pStyle w:val="ListParagraph"/>
        <w:numPr>
          <w:ilvl w:val="0"/>
          <w:numId w:val="11"/>
        </w:numPr>
        <w:spacing w:before="120"/>
        <w:rPr>
          <w:sz w:val="24"/>
          <w:szCs w:val="24"/>
        </w:rPr>
      </w:pPr>
      <w:r w:rsidRPr="00274CE9">
        <w:rPr>
          <w:sz w:val="24"/>
          <w:szCs w:val="24"/>
        </w:rPr>
        <w:t>There is opportunity for NRM bodies to provide a support network for RBGs. It was noted that this is working well in the rangelands.</w:t>
      </w:r>
    </w:p>
    <w:p w14:paraId="061762EC" w14:textId="0F5CC355" w:rsidR="00757418" w:rsidRPr="00274CE9" w:rsidRDefault="00757418" w:rsidP="00757418">
      <w:pPr>
        <w:spacing w:before="120"/>
        <w:rPr>
          <w:rFonts w:cs="Arial"/>
          <w:i/>
          <w:sz w:val="24"/>
          <w:szCs w:val="24"/>
        </w:rPr>
      </w:pPr>
      <w:r w:rsidRPr="00274CE9">
        <w:rPr>
          <w:rFonts w:cs="Arial"/>
          <w:i/>
          <w:sz w:val="24"/>
          <w:szCs w:val="24"/>
        </w:rPr>
        <w:t>Where is government at?</w:t>
      </w:r>
    </w:p>
    <w:p w14:paraId="0BEFD20A" w14:textId="5804D533" w:rsidR="00355EC5" w:rsidRDefault="00FB7EF8" w:rsidP="00355EC5">
      <w:pPr>
        <w:spacing w:before="120"/>
        <w:rPr>
          <w:rFonts w:cs="Arial"/>
          <w:sz w:val="24"/>
          <w:szCs w:val="24"/>
        </w:rPr>
      </w:pPr>
      <w:r w:rsidRPr="00274CE9">
        <w:rPr>
          <w:rFonts w:cs="Arial"/>
          <w:sz w:val="24"/>
          <w:szCs w:val="24"/>
        </w:rPr>
        <w:t xml:space="preserve">The </w:t>
      </w:r>
      <w:r w:rsidR="003150C3" w:rsidRPr="00274CE9">
        <w:rPr>
          <w:rFonts w:cs="Arial"/>
          <w:sz w:val="24"/>
          <w:szCs w:val="24"/>
        </w:rPr>
        <w:t>position and direction of government has been discussed elsewhere in this report. The Council acknowledge the activities undertaken by government to support cooperative risk-based decision-making and joint effort, such as the State Biosecurity Strategy</w:t>
      </w:r>
      <w:r w:rsidR="00F55652" w:rsidRPr="00274CE9">
        <w:rPr>
          <w:rFonts w:cs="Arial"/>
          <w:sz w:val="24"/>
          <w:szCs w:val="24"/>
        </w:rPr>
        <w:t>,</w:t>
      </w:r>
      <w:r w:rsidR="003150C3" w:rsidRPr="00274CE9">
        <w:rPr>
          <w:rFonts w:cs="Arial"/>
          <w:sz w:val="24"/>
          <w:szCs w:val="24"/>
        </w:rPr>
        <w:t xml:space="preserve"> review of the declared species</w:t>
      </w:r>
      <w:r w:rsidR="00F55652" w:rsidRPr="00274CE9">
        <w:rPr>
          <w:rFonts w:cs="Arial"/>
          <w:sz w:val="24"/>
          <w:szCs w:val="24"/>
        </w:rPr>
        <w:t xml:space="preserve"> and support for RBGs</w:t>
      </w:r>
      <w:r w:rsidRPr="00274CE9">
        <w:rPr>
          <w:rFonts w:cs="Arial"/>
          <w:sz w:val="24"/>
          <w:szCs w:val="24"/>
        </w:rPr>
        <w:t xml:space="preserve">. </w:t>
      </w:r>
      <w:r w:rsidR="003150C3" w:rsidRPr="00274CE9">
        <w:rPr>
          <w:rFonts w:cs="Arial"/>
          <w:sz w:val="24"/>
          <w:szCs w:val="24"/>
        </w:rPr>
        <w:t xml:space="preserve">The Council is generally satisfied as to how government has </w:t>
      </w:r>
      <w:r w:rsidR="00DB52C3" w:rsidRPr="00274CE9">
        <w:rPr>
          <w:rFonts w:cs="Arial"/>
          <w:sz w:val="24"/>
          <w:szCs w:val="24"/>
        </w:rPr>
        <w:t>considered/</w:t>
      </w:r>
      <w:r w:rsidR="003150C3" w:rsidRPr="00274CE9">
        <w:rPr>
          <w:rFonts w:cs="Arial"/>
          <w:sz w:val="24"/>
          <w:szCs w:val="24"/>
        </w:rPr>
        <w:t>implemented previous</w:t>
      </w:r>
      <w:r w:rsidR="00F55652" w:rsidRPr="00274CE9">
        <w:rPr>
          <w:rFonts w:cs="Arial"/>
          <w:sz w:val="24"/>
          <w:szCs w:val="24"/>
        </w:rPr>
        <w:t xml:space="preserve"> Council advice</w:t>
      </w:r>
      <w:r w:rsidR="003150C3" w:rsidRPr="00274CE9">
        <w:rPr>
          <w:rFonts w:cs="Arial"/>
          <w:sz w:val="24"/>
          <w:szCs w:val="24"/>
        </w:rPr>
        <w:t>. How</w:t>
      </w:r>
      <w:r w:rsidR="00423F58" w:rsidRPr="00274CE9">
        <w:rPr>
          <w:rFonts w:cs="Arial"/>
          <w:sz w:val="24"/>
          <w:szCs w:val="24"/>
        </w:rPr>
        <w:t xml:space="preserve">ever, there are areas in which Council will continue to watch—biosecurity response preparedness; collaboration; current status and impact of declining resources; </w:t>
      </w:r>
      <w:r w:rsidR="00B47A95" w:rsidRPr="00274CE9">
        <w:rPr>
          <w:rFonts w:cs="Arial"/>
          <w:sz w:val="24"/>
          <w:szCs w:val="24"/>
        </w:rPr>
        <w:t xml:space="preserve">and the </w:t>
      </w:r>
      <w:r w:rsidR="00423F58" w:rsidRPr="00274CE9">
        <w:rPr>
          <w:rFonts w:cs="Arial"/>
          <w:sz w:val="24"/>
          <w:szCs w:val="24"/>
        </w:rPr>
        <w:t>transition to the new phase in WA biosecurity</w:t>
      </w:r>
      <w:r w:rsidR="00EE5B11" w:rsidRPr="00274CE9">
        <w:rPr>
          <w:rFonts w:cs="Arial"/>
          <w:sz w:val="24"/>
          <w:szCs w:val="24"/>
        </w:rPr>
        <w:t xml:space="preserve"> </w:t>
      </w:r>
      <w:r w:rsidR="00B47A95" w:rsidRPr="00274CE9">
        <w:rPr>
          <w:rFonts w:cs="Arial"/>
          <w:sz w:val="24"/>
          <w:szCs w:val="24"/>
        </w:rPr>
        <w:t>of</w:t>
      </w:r>
      <w:r w:rsidR="00EE5B11" w:rsidRPr="00274CE9">
        <w:rPr>
          <w:rFonts w:cs="Arial"/>
          <w:sz w:val="24"/>
          <w:szCs w:val="24"/>
        </w:rPr>
        <w:t xml:space="preserve"> shared responsibility and resourcing</w:t>
      </w:r>
      <w:r w:rsidR="00F55652" w:rsidRPr="00274CE9">
        <w:rPr>
          <w:rFonts w:cs="Arial"/>
          <w:sz w:val="24"/>
          <w:szCs w:val="24"/>
        </w:rPr>
        <w:t>.</w:t>
      </w:r>
    </w:p>
    <w:p w14:paraId="2C0A4EDB" w14:textId="77777777" w:rsidR="000B7410" w:rsidRDefault="000B7410">
      <w:pPr>
        <w:spacing w:line="240" w:lineRule="auto"/>
        <w:jc w:val="center"/>
        <w:rPr>
          <w:rFonts w:eastAsiaTheme="majorEastAsia" w:cstheme="majorBidi"/>
          <w:b/>
          <w:bCs/>
          <w:sz w:val="28"/>
          <w:szCs w:val="28"/>
        </w:rPr>
      </w:pPr>
      <w:r>
        <w:br w:type="page"/>
      </w:r>
    </w:p>
    <w:p w14:paraId="13BFFF25" w14:textId="7D0E6374" w:rsidR="00F42BA2" w:rsidRPr="00F55652" w:rsidRDefault="0032776C" w:rsidP="00F85F27">
      <w:pPr>
        <w:pStyle w:val="Heading1"/>
      </w:pPr>
      <w:bookmarkStart w:id="13" w:name="_Toc433204415"/>
      <w:r w:rsidRPr="00F55652">
        <w:lastRenderedPageBreak/>
        <w:t>N</w:t>
      </w:r>
      <w:r w:rsidR="00E233AD" w:rsidRPr="00F55652">
        <w:t>ext steps</w:t>
      </w:r>
      <w:bookmarkEnd w:id="13"/>
    </w:p>
    <w:p w14:paraId="1991292F" w14:textId="44E462A8" w:rsidR="00DB52C3" w:rsidRPr="00274CE9" w:rsidRDefault="008F69CA" w:rsidP="00F55652">
      <w:pPr>
        <w:spacing w:before="120"/>
        <w:rPr>
          <w:rFonts w:cs="Arial"/>
          <w:sz w:val="24"/>
          <w:szCs w:val="24"/>
        </w:rPr>
      </w:pPr>
      <w:r w:rsidRPr="00274CE9">
        <w:rPr>
          <w:rFonts w:cs="Arial"/>
          <w:sz w:val="24"/>
          <w:szCs w:val="24"/>
        </w:rPr>
        <w:t xml:space="preserve">In terms of </w:t>
      </w:r>
      <w:r w:rsidR="00423F58" w:rsidRPr="00274CE9">
        <w:rPr>
          <w:rFonts w:cs="Arial"/>
          <w:sz w:val="24"/>
          <w:szCs w:val="24"/>
        </w:rPr>
        <w:t xml:space="preserve">financial </w:t>
      </w:r>
      <w:r w:rsidRPr="00274CE9">
        <w:rPr>
          <w:rFonts w:cs="Arial"/>
          <w:sz w:val="24"/>
          <w:szCs w:val="24"/>
        </w:rPr>
        <w:t>investment, t</w:t>
      </w:r>
      <w:r w:rsidR="00DB52C3" w:rsidRPr="00274CE9">
        <w:rPr>
          <w:rFonts w:cs="Arial"/>
          <w:sz w:val="24"/>
          <w:szCs w:val="24"/>
        </w:rPr>
        <w:t>here are two expectations for maintaining a bio-secure Western Australia:</w:t>
      </w:r>
    </w:p>
    <w:p w14:paraId="0A6C4568" w14:textId="54AAED99" w:rsidR="00FC09AB" w:rsidRPr="00274CE9" w:rsidRDefault="00DB52C3" w:rsidP="00DB52C3">
      <w:pPr>
        <w:pStyle w:val="ListParagraph"/>
        <w:numPr>
          <w:ilvl w:val="0"/>
          <w:numId w:val="28"/>
        </w:numPr>
        <w:spacing w:before="120"/>
        <w:rPr>
          <w:rFonts w:cs="Arial"/>
          <w:sz w:val="24"/>
          <w:szCs w:val="24"/>
        </w:rPr>
      </w:pPr>
      <w:r w:rsidRPr="00274CE9">
        <w:rPr>
          <w:rFonts w:cs="Arial"/>
          <w:sz w:val="24"/>
          <w:szCs w:val="24"/>
        </w:rPr>
        <w:t>Industry, government and community investment</w:t>
      </w:r>
    </w:p>
    <w:p w14:paraId="3C69E9B6" w14:textId="4637D0DF" w:rsidR="00DB52C3" w:rsidRPr="00274CE9" w:rsidRDefault="00DB52C3" w:rsidP="00DB52C3">
      <w:pPr>
        <w:pStyle w:val="ListParagraph"/>
        <w:numPr>
          <w:ilvl w:val="0"/>
          <w:numId w:val="28"/>
        </w:numPr>
        <w:spacing w:before="120"/>
        <w:rPr>
          <w:rFonts w:cs="Arial"/>
          <w:sz w:val="24"/>
          <w:szCs w:val="24"/>
        </w:rPr>
      </w:pPr>
      <w:r w:rsidRPr="00274CE9">
        <w:rPr>
          <w:rFonts w:cs="Arial"/>
          <w:sz w:val="24"/>
          <w:szCs w:val="24"/>
        </w:rPr>
        <w:t>Investment targeted toward the priorities, with priorities determined using risk-based decision making</w:t>
      </w:r>
    </w:p>
    <w:p w14:paraId="3DE54FA7" w14:textId="4A52006E" w:rsidR="00DB52C3" w:rsidRPr="00274CE9" w:rsidRDefault="008F69CA" w:rsidP="008F69CA">
      <w:pPr>
        <w:spacing w:before="120"/>
        <w:rPr>
          <w:rFonts w:cs="Arial"/>
          <w:sz w:val="24"/>
          <w:szCs w:val="24"/>
        </w:rPr>
      </w:pPr>
      <w:r w:rsidRPr="00274CE9">
        <w:rPr>
          <w:rFonts w:cs="Arial"/>
          <w:sz w:val="24"/>
          <w:szCs w:val="24"/>
        </w:rPr>
        <w:t>The Council anticipate developing a position/advice on ‘who does what, how they prioritise, who should pay (and why/how)’. This will include e</w:t>
      </w:r>
      <w:r w:rsidR="00F55652" w:rsidRPr="00274CE9">
        <w:rPr>
          <w:rFonts w:cs="Arial"/>
          <w:sz w:val="24"/>
          <w:szCs w:val="24"/>
        </w:rPr>
        <w:t>xplor</w:t>
      </w:r>
      <w:r w:rsidRPr="00274CE9">
        <w:rPr>
          <w:rFonts w:cs="Arial"/>
          <w:sz w:val="24"/>
          <w:szCs w:val="24"/>
        </w:rPr>
        <w:t>ing</w:t>
      </w:r>
      <w:r w:rsidR="00F55652" w:rsidRPr="00274CE9">
        <w:rPr>
          <w:rFonts w:cs="Arial"/>
          <w:sz w:val="24"/>
          <w:szCs w:val="24"/>
        </w:rPr>
        <w:t xml:space="preserve"> the institutional arrangements for biosecurity across the invasion curve</w:t>
      </w:r>
      <w:r w:rsidRPr="00274CE9">
        <w:rPr>
          <w:rFonts w:cs="Arial"/>
          <w:sz w:val="24"/>
          <w:szCs w:val="24"/>
        </w:rPr>
        <w:t>, as well as f</w:t>
      </w:r>
      <w:r w:rsidR="00DB52C3" w:rsidRPr="00274CE9">
        <w:rPr>
          <w:rFonts w:cs="Arial"/>
          <w:sz w:val="24"/>
          <w:szCs w:val="24"/>
        </w:rPr>
        <w:t>ram</w:t>
      </w:r>
      <w:r w:rsidRPr="00274CE9">
        <w:rPr>
          <w:rFonts w:cs="Arial"/>
          <w:sz w:val="24"/>
          <w:szCs w:val="24"/>
        </w:rPr>
        <w:t>ing</w:t>
      </w:r>
      <w:r w:rsidR="00DB52C3" w:rsidRPr="00274CE9">
        <w:rPr>
          <w:rFonts w:cs="Arial"/>
          <w:sz w:val="24"/>
          <w:szCs w:val="24"/>
        </w:rPr>
        <w:t xml:space="preserve"> a Council position on prioritisation and risk-based decision making principles and process for future biosecurity investment</w:t>
      </w:r>
      <w:r w:rsidRPr="00274CE9">
        <w:rPr>
          <w:rFonts w:cs="Arial"/>
          <w:sz w:val="24"/>
          <w:szCs w:val="24"/>
        </w:rPr>
        <w:t>.</w:t>
      </w:r>
    </w:p>
    <w:p w14:paraId="18107480" w14:textId="660EFD2A" w:rsidR="008F69CA" w:rsidRPr="00274CE9" w:rsidRDefault="008F69CA" w:rsidP="008F69CA">
      <w:pPr>
        <w:spacing w:before="120"/>
        <w:rPr>
          <w:rFonts w:cs="Arial"/>
          <w:sz w:val="24"/>
          <w:szCs w:val="24"/>
        </w:rPr>
      </w:pPr>
      <w:r w:rsidRPr="00274CE9">
        <w:rPr>
          <w:rFonts w:cs="Arial"/>
          <w:sz w:val="24"/>
          <w:szCs w:val="24"/>
        </w:rPr>
        <w:t>This work will be underpinned by a ‘status check’ of the current biosecurity system</w:t>
      </w:r>
      <w:r w:rsidR="00423F58" w:rsidRPr="00274CE9">
        <w:rPr>
          <w:rFonts w:cs="Arial"/>
          <w:sz w:val="24"/>
          <w:szCs w:val="24"/>
        </w:rPr>
        <w:t xml:space="preserve"> (</w:t>
      </w:r>
      <w:r w:rsidRPr="00274CE9">
        <w:rPr>
          <w:rFonts w:cs="Arial"/>
          <w:sz w:val="24"/>
          <w:szCs w:val="24"/>
        </w:rPr>
        <w:t>current investment in biosecurity, gaps</w:t>
      </w:r>
      <w:r w:rsidR="00423F58" w:rsidRPr="00274CE9">
        <w:rPr>
          <w:rFonts w:cs="Arial"/>
          <w:sz w:val="24"/>
          <w:szCs w:val="24"/>
        </w:rPr>
        <w:t xml:space="preserve"> and potential improvements) and the findings from the Councils’ stakeholder engagement work.</w:t>
      </w:r>
    </w:p>
    <w:p w14:paraId="12E876B4" w14:textId="77777777" w:rsidR="008A3171" w:rsidRDefault="008A3171">
      <w:pPr>
        <w:spacing w:line="240" w:lineRule="auto"/>
        <w:jc w:val="center"/>
        <w:rPr>
          <w:rFonts w:cs="Arial"/>
        </w:rPr>
      </w:pPr>
      <w:bookmarkStart w:id="14" w:name="_Toc433204416"/>
      <w:bookmarkStart w:id="15" w:name="_Ref236989363"/>
      <w:r>
        <w:rPr>
          <w:rFonts w:cs="Arial"/>
          <w:b/>
          <w:bCs/>
        </w:rPr>
        <w:br w:type="page"/>
      </w:r>
    </w:p>
    <w:p w14:paraId="4EB78972" w14:textId="18B28015" w:rsidR="0019483F" w:rsidRDefault="0019483F" w:rsidP="000B7410">
      <w:pPr>
        <w:pStyle w:val="Heading1"/>
        <w:numPr>
          <w:ilvl w:val="0"/>
          <w:numId w:val="0"/>
        </w:numPr>
      </w:pPr>
      <w:proofErr w:type="gramStart"/>
      <w:r w:rsidRPr="00820164">
        <w:lastRenderedPageBreak/>
        <w:t xml:space="preserve">Appendix </w:t>
      </w:r>
      <w:r>
        <w:t>1</w:t>
      </w:r>
      <w:r w:rsidRPr="00820164">
        <w:t>.</w:t>
      </w:r>
      <w:proofErr w:type="gramEnd"/>
      <w:r w:rsidRPr="00820164">
        <w:t xml:space="preserve">  </w:t>
      </w:r>
      <w:r>
        <w:t>List of workshop invitees / participants</w:t>
      </w:r>
      <w:bookmarkEnd w:id="14"/>
    </w:p>
    <w:p w14:paraId="3E56412E" w14:textId="77777777" w:rsidR="0082581F" w:rsidRDefault="0082581F" w:rsidP="0082581F"/>
    <w:p w14:paraId="3BCE7EB2" w14:textId="4F38ADB6" w:rsidR="0082581F" w:rsidRPr="003B4061" w:rsidRDefault="0082581F" w:rsidP="0082581F">
      <w:r w:rsidRPr="003B4061">
        <w:rPr>
          <w:rFonts w:cs="Arial"/>
          <w:b/>
        </w:rPr>
        <w:t>Government</w:t>
      </w:r>
    </w:p>
    <w:tbl>
      <w:tblPr>
        <w:tblW w:w="8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43"/>
        <w:gridCol w:w="2197"/>
        <w:gridCol w:w="2197"/>
      </w:tblGrid>
      <w:tr w:rsidR="00B23DEA" w:rsidRPr="00254313" w14:paraId="7471C060" w14:textId="5C872CD1" w:rsidTr="008A3171">
        <w:tc>
          <w:tcPr>
            <w:tcW w:w="3743" w:type="dxa"/>
            <w:shd w:val="clear" w:color="auto" w:fill="auto"/>
          </w:tcPr>
          <w:p w14:paraId="64B80914" w14:textId="4C6CFF66" w:rsidR="00B23DEA" w:rsidRPr="00254313" w:rsidRDefault="00B23DEA" w:rsidP="0014272C">
            <w:pPr>
              <w:spacing w:line="240" w:lineRule="auto"/>
              <w:rPr>
                <w:rFonts w:cs="Arial"/>
                <w:b/>
                <w:sz w:val="20"/>
                <w:szCs w:val="20"/>
              </w:rPr>
            </w:pPr>
            <w:r w:rsidRPr="00254313">
              <w:rPr>
                <w:rFonts w:cs="Arial"/>
                <w:b/>
                <w:sz w:val="20"/>
                <w:szCs w:val="20"/>
              </w:rPr>
              <w:t>Agency</w:t>
            </w:r>
          </w:p>
        </w:tc>
        <w:tc>
          <w:tcPr>
            <w:tcW w:w="2197" w:type="dxa"/>
            <w:shd w:val="clear" w:color="auto" w:fill="auto"/>
            <w:vAlign w:val="center"/>
          </w:tcPr>
          <w:p w14:paraId="03411FE8" w14:textId="7398A273" w:rsidR="00B23DEA" w:rsidRPr="00254313" w:rsidRDefault="00B23DEA" w:rsidP="008A3171">
            <w:pPr>
              <w:spacing w:line="240" w:lineRule="auto"/>
              <w:jc w:val="center"/>
              <w:rPr>
                <w:rFonts w:cs="Arial"/>
                <w:b/>
                <w:sz w:val="20"/>
                <w:szCs w:val="20"/>
              </w:rPr>
            </w:pPr>
            <w:r>
              <w:rPr>
                <w:rFonts w:cs="Arial"/>
                <w:b/>
                <w:sz w:val="20"/>
                <w:szCs w:val="20"/>
              </w:rPr>
              <w:t>No. invited</w:t>
            </w:r>
          </w:p>
        </w:tc>
        <w:tc>
          <w:tcPr>
            <w:tcW w:w="2197" w:type="dxa"/>
            <w:shd w:val="clear" w:color="auto" w:fill="auto"/>
          </w:tcPr>
          <w:p w14:paraId="71A756F1" w14:textId="190616D6" w:rsidR="00B23DEA" w:rsidRPr="00254313" w:rsidRDefault="00B23DEA" w:rsidP="00B23DEA">
            <w:pPr>
              <w:spacing w:line="240" w:lineRule="auto"/>
              <w:jc w:val="center"/>
              <w:rPr>
                <w:rFonts w:cs="Arial"/>
                <w:b/>
                <w:sz w:val="20"/>
                <w:szCs w:val="20"/>
              </w:rPr>
            </w:pPr>
            <w:r>
              <w:rPr>
                <w:rFonts w:cs="Arial"/>
                <w:b/>
                <w:sz w:val="20"/>
                <w:szCs w:val="20"/>
              </w:rPr>
              <w:t>No. a</w:t>
            </w:r>
            <w:r w:rsidRPr="00254313">
              <w:rPr>
                <w:rFonts w:cs="Arial"/>
                <w:b/>
                <w:sz w:val="20"/>
                <w:szCs w:val="20"/>
              </w:rPr>
              <w:t>t</w:t>
            </w:r>
            <w:r w:rsidR="008A3171">
              <w:rPr>
                <w:rFonts w:cs="Arial"/>
                <w:b/>
                <w:sz w:val="20"/>
                <w:szCs w:val="20"/>
              </w:rPr>
              <w:t>t</w:t>
            </w:r>
            <w:r w:rsidRPr="00254313">
              <w:rPr>
                <w:rFonts w:cs="Arial"/>
                <w:b/>
                <w:sz w:val="20"/>
                <w:szCs w:val="20"/>
              </w:rPr>
              <w:t>ended</w:t>
            </w:r>
          </w:p>
        </w:tc>
      </w:tr>
      <w:tr w:rsidR="00B23DEA" w:rsidRPr="00254313" w14:paraId="53636548" w14:textId="4DAB6215" w:rsidTr="008A3171">
        <w:tc>
          <w:tcPr>
            <w:tcW w:w="3743" w:type="dxa"/>
            <w:shd w:val="clear" w:color="auto" w:fill="auto"/>
          </w:tcPr>
          <w:p w14:paraId="3166ACB9" w14:textId="561B5AAD" w:rsidR="00B23DEA" w:rsidRPr="00254313" w:rsidRDefault="00B23DEA" w:rsidP="0014272C">
            <w:pPr>
              <w:spacing w:line="240" w:lineRule="auto"/>
              <w:rPr>
                <w:rFonts w:cs="Arial"/>
                <w:sz w:val="20"/>
                <w:szCs w:val="20"/>
              </w:rPr>
            </w:pPr>
            <w:r w:rsidRPr="00254313">
              <w:rPr>
                <w:rFonts w:cs="Arial"/>
                <w:sz w:val="20"/>
                <w:szCs w:val="20"/>
              </w:rPr>
              <w:t>Department of Agriculture and Food</w:t>
            </w:r>
          </w:p>
        </w:tc>
        <w:tc>
          <w:tcPr>
            <w:tcW w:w="2197" w:type="dxa"/>
            <w:shd w:val="clear" w:color="auto" w:fill="auto"/>
            <w:vAlign w:val="center"/>
          </w:tcPr>
          <w:p w14:paraId="3A791D3C" w14:textId="56F2567E" w:rsidR="00B23DEA" w:rsidRPr="00254313" w:rsidRDefault="00B23DEA" w:rsidP="008A3171">
            <w:pPr>
              <w:spacing w:line="240" w:lineRule="auto"/>
              <w:contextualSpacing/>
              <w:jc w:val="center"/>
              <w:rPr>
                <w:rFonts w:cs="Arial"/>
                <w:sz w:val="20"/>
                <w:szCs w:val="20"/>
              </w:rPr>
            </w:pPr>
            <w:r>
              <w:rPr>
                <w:rFonts w:cs="Arial"/>
                <w:sz w:val="20"/>
                <w:szCs w:val="20"/>
              </w:rPr>
              <w:t>7</w:t>
            </w:r>
          </w:p>
        </w:tc>
        <w:tc>
          <w:tcPr>
            <w:tcW w:w="2197" w:type="dxa"/>
            <w:shd w:val="clear" w:color="auto" w:fill="auto"/>
          </w:tcPr>
          <w:p w14:paraId="5ECA0815" w14:textId="06332B0D" w:rsidR="00B23DEA" w:rsidRPr="00254313" w:rsidRDefault="00B23DEA" w:rsidP="0014272C">
            <w:pPr>
              <w:spacing w:before="20" w:after="20" w:line="240" w:lineRule="auto"/>
              <w:jc w:val="center"/>
              <w:rPr>
                <w:rFonts w:cs="Arial"/>
                <w:sz w:val="20"/>
                <w:szCs w:val="20"/>
              </w:rPr>
            </w:pPr>
            <w:r>
              <w:rPr>
                <w:rFonts w:cs="Arial"/>
                <w:sz w:val="20"/>
                <w:szCs w:val="20"/>
              </w:rPr>
              <w:t>6</w:t>
            </w:r>
          </w:p>
        </w:tc>
      </w:tr>
      <w:tr w:rsidR="00B23DEA" w:rsidRPr="00254313" w14:paraId="3A3F01A8" w14:textId="718718B1" w:rsidTr="008A3171">
        <w:tc>
          <w:tcPr>
            <w:tcW w:w="3743" w:type="dxa"/>
            <w:shd w:val="clear" w:color="auto" w:fill="auto"/>
          </w:tcPr>
          <w:p w14:paraId="0AF722EE" w14:textId="53A1A6AC" w:rsidR="00B23DEA" w:rsidRPr="00254313" w:rsidRDefault="00B23DEA" w:rsidP="0014272C">
            <w:pPr>
              <w:spacing w:line="240" w:lineRule="auto"/>
              <w:rPr>
                <w:rFonts w:cs="Arial"/>
                <w:sz w:val="20"/>
                <w:szCs w:val="20"/>
              </w:rPr>
            </w:pPr>
            <w:r w:rsidRPr="00254313">
              <w:rPr>
                <w:rFonts w:cs="Arial"/>
                <w:sz w:val="20"/>
                <w:szCs w:val="20"/>
              </w:rPr>
              <w:t>Department of Fisheries</w:t>
            </w:r>
          </w:p>
        </w:tc>
        <w:tc>
          <w:tcPr>
            <w:tcW w:w="2197" w:type="dxa"/>
            <w:shd w:val="clear" w:color="auto" w:fill="auto"/>
            <w:vAlign w:val="center"/>
          </w:tcPr>
          <w:p w14:paraId="18217EF3" w14:textId="571BBA02" w:rsidR="00B23DEA" w:rsidRPr="00254313" w:rsidRDefault="00B23DEA" w:rsidP="008A3171">
            <w:pPr>
              <w:spacing w:line="240" w:lineRule="auto"/>
              <w:contextualSpacing/>
              <w:jc w:val="center"/>
              <w:rPr>
                <w:rFonts w:cs="Arial"/>
                <w:sz w:val="20"/>
                <w:szCs w:val="20"/>
              </w:rPr>
            </w:pPr>
            <w:r>
              <w:rPr>
                <w:rFonts w:cs="Arial"/>
                <w:sz w:val="20"/>
                <w:szCs w:val="20"/>
              </w:rPr>
              <w:t>2</w:t>
            </w:r>
          </w:p>
        </w:tc>
        <w:tc>
          <w:tcPr>
            <w:tcW w:w="2197" w:type="dxa"/>
            <w:shd w:val="clear" w:color="auto" w:fill="auto"/>
          </w:tcPr>
          <w:p w14:paraId="74173AFD" w14:textId="05D26248" w:rsidR="00B23DEA" w:rsidRPr="00254313" w:rsidRDefault="00B23DEA" w:rsidP="0014272C">
            <w:pPr>
              <w:spacing w:line="240" w:lineRule="auto"/>
              <w:contextualSpacing/>
              <w:jc w:val="center"/>
              <w:rPr>
                <w:rFonts w:cs="Arial"/>
                <w:sz w:val="20"/>
                <w:szCs w:val="20"/>
              </w:rPr>
            </w:pPr>
            <w:r>
              <w:rPr>
                <w:rFonts w:cs="Arial"/>
                <w:sz w:val="20"/>
                <w:szCs w:val="20"/>
              </w:rPr>
              <w:t>2</w:t>
            </w:r>
          </w:p>
        </w:tc>
      </w:tr>
      <w:tr w:rsidR="00B23DEA" w:rsidRPr="00254313" w14:paraId="5CFD0A6C" w14:textId="1E632A07" w:rsidTr="008A3171">
        <w:tc>
          <w:tcPr>
            <w:tcW w:w="3743" w:type="dxa"/>
            <w:tcBorders>
              <w:top w:val="single" w:sz="4" w:space="0" w:color="auto"/>
              <w:left w:val="single" w:sz="4" w:space="0" w:color="auto"/>
              <w:bottom w:val="single" w:sz="4" w:space="0" w:color="auto"/>
              <w:right w:val="single" w:sz="4" w:space="0" w:color="auto"/>
            </w:tcBorders>
            <w:shd w:val="clear" w:color="auto" w:fill="auto"/>
          </w:tcPr>
          <w:p w14:paraId="1E2F6CB7" w14:textId="77777777" w:rsidR="00B23DEA" w:rsidRPr="00254313" w:rsidRDefault="00B23DEA" w:rsidP="0014272C">
            <w:pPr>
              <w:spacing w:line="240" w:lineRule="auto"/>
              <w:rPr>
                <w:rFonts w:cs="Arial"/>
                <w:sz w:val="20"/>
                <w:szCs w:val="20"/>
              </w:rPr>
            </w:pPr>
            <w:r w:rsidRPr="00254313">
              <w:rPr>
                <w:rFonts w:cs="Arial"/>
                <w:sz w:val="20"/>
                <w:szCs w:val="20"/>
              </w:rPr>
              <w:t xml:space="preserve">Department of Parks and Wildlife </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7B6D64C" w14:textId="735121AC" w:rsidR="00B23DEA" w:rsidRPr="00254313" w:rsidRDefault="00B23DEA" w:rsidP="008A3171">
            <w:pPr>
              <w:spacing w:line="240" w:lineRule="auto"/>
              <w:contextualSpacing/>
              <w:jc w:val="center"/>
              <w:rPr>
                <w:rFonts w:cs="Arial"/>
                <w:sz w:val="20"/>
                <w:szCs w:val="20"/>
              </w:rPr>
            </w:pPr>
            <w:r>
              <w:rPr>
                <w:rFonts w:cs="Arial"/>
                <w:sz w:val="20"/>
                <w:szCs w:val="20"/>
              </w:rPr>
              <w:t>3</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A7887C2" w14:textId="49A27DD2" w:rsidR="00B23DEA" w:rsidRPr="00254313" w:rsidRDefault="00B23DEA" w:rsidP="0014272C">
            <w:pPr>
              <w:spacing w:line="240" w:lineRule="auto"/>
              <w:jc w:val="center"/>
              <w:rPr>
                <w:rFonts w:cs="Arial"/>
                <w:sz w:val="20"/>
                <w:szCs w:val="20"/>
              </w:rPr>
            </w:pPr>
            <w:r>
              <w:rPr>
                <w:rFonts w:cs="Arial"/>
                <w:sz w:val="20"/>
                <w:szCs w:val="20"/>
              </w:rPr>
              <w:t>1</w:t>
            </w:r>
          </w:p>
        </w:tc>
      </w:tr>
      <w:tr w:rsidR="00B23DEA" w:rsidRPr="00254313" w14:paraId="68809846" w14:textId="6189EA10" w:rsidTr="008A3171">
        <w:tc>
          <w:tcPr>
            <w:tcW w:w="3743" w:type="dxa"/>
            <w:shd w:val="clear" w:color="auto" w:fill="auto"/>
          </w:tcPr>
          <w:p w14:paraId="01170C24" w14:textId="77777777" w:rsidR="00B23DEA" w:rsidRPr="00254313" w:rsidRDefault="00B23DEA" w:rsidP="0014272C">
            <w:pPr>
              <w:spacing w:line="240" w:lineRule="auto"/>
              <w:rPr>
                <w:rFonts w:cs="Arial"/>
                <w:sz w:val="20"/>
                <w:szCs w:val="20"/>
              </w:rPr>
            </w:pPr>
            <w:r w:rsidRPr="00254313">
              <w:rPr>
                <w:rFonts w:cs="Arial"/>
                <w:sz w:val="20"/>
                <w:szCs w:val="20"/>
              </w:rPr>
              <w:t>Forest Products Commission</w:t>
            </w:r>
          </w:p>
        </w:tc>
        <w:tc>
          <w:tcPr>
            <w:tcW w:w="2197" w:type="dxa"/>
            <w:shd w:val="clear" w:color="auto" w:fill="auto"/>
            <w:vAlign w:val="center"/>
          </w:tcPr>
          <w:p w14:paraId="6C39668A" w14:textId="190C48F7" w:rsidR="00B23DEA" w:rsidRPr="00254313" w:rsidRDefault="00B23DEA" w:rsidP="008A3171">
            <w:pPr>
              <w:spacing w:line="240" w:lineRule="auto"/>
              <w:contextualSpacing/>
              <w:jc w:val="center"/>
              <w:rPr>
                <w:rFonts w:cs="Arial"/>
                <w:sz w:val="20"/>
                <w:szCs w:val="20"/>
              </w:rPr>
            </w:pPr>
            <w:r>
              <w:rPr>
                <w:rFonts w:cs="Arial"/>
                <w:sz w:val="20"/>
                <w:szCs w:val="20"/>
              </w:rPr>
              <w:t>1</w:t>
            </w:r>
          </w:p>
        </w:tc>
        <w:tc>
          <w:tcPr>
            <w:tcW w:w="2197" w:type="dxa"/>
            <w:shd w:val="clear" w:color="auto" w:fill="auto"/>
          </w:tcPr>
          <w:p w14:paraId="711FB571" w14:textId="50B90A52" w:rsidR="00B23DEA" w:rsidRPr="00254313" w:rsidRDefault="00B23DEA" w:rsidP="0014272C">
            <w:pPr>
              <w:spacing w:line="240" w:lineRule="auto"/>
              <w:contextualSpacing/>
              <w:jc w:val="center"/>
              <w:rPr>
                <w:rFonts w:cs="Arial"/>
                <w:sz w:val="20"/>
                <w:szCs w:val="20"/>
              </w:rPr>
            </w:pPr>
            <w:r>
              <w:rPr>
                <w:rFonts w:cs="Arial"/>
                <w:sz w:val="20"/>
                <w:szCs w:val="20"/>
              </w:rPr>
              <w:t>0</w:t>
            </w:r>
          </w:p>
        </w:tc>
      </w:tr>
      <w:tr w:rsidR="00B23DEA" w:rsidRPr="00254313" w14:paraId="19872CA1" w14:textId="34B79FEE" w:rsidTr="008A3171">
        <w:tc>
          <w:tcPr>
            <w:tcW w:w="3743" w:type="dxa"/>
            <w:shd w:val="clear" w:color="auto" w:fill="auto"/>
          </w:tcPr>
          <w:p w14:paraId="27316256" w14:textId="63C71739" w:rsidR="00B23DEA" w:rsidRPr="00254313" w:rsidRDefault="00B23DEA" w:rsidP="0014272C">
            <w:pPr>
              <w:spacing w:line="240" w:lineRule="auto"/>
              <w:rPr>
                <w:rFonts w:eastAsia="Times New Roman" w:cs="Arial"/>
                <w:sz w:val="20"/>
                <w:szCs w:val="20"/>
                <w:lang w:eastAsia="en-AU"/>
              </w:rPr>
            </w:pPr>
            <w:r w:rsidRPr="00254313">
              <w:rPr>
                <w:rFonts w:cs="Arial"/>
                <w:sz w:val="20"/>
                <w:szCs w:val="20"/>
              </w:rPr>
              <w:t>Local government</w:t>
            </w:r>
          </w:p>
        </w:tc>
        <w:tc>
          <w:tcPr>
            <w:tcW w:w="2197" w:type="dxa"/>
            <w:shd w:val="clear" w:color="auto" w:fill="auto"/>
            <w:vAlign w:val="center"/>
          </w:tcPr>
          <w:p w14:paraId="2C96354A" w14:textId="25D258BE" w:rsidR="00B23DEA" w:rsidRPr="00254313" w:rsidRDefault="00B23DEA" w:rsidP="008A3171">
            <w:pPr>
              <w:spacing w:line="240" w:lineRule="auto"/>
              <w:contextualSpacing/>
              <w:jc w:val="center"/>
              <w:rPr>
                <w:rFonts w:cs="Arial"/>
                <w:sz w:val="20"/>
                <w:szCs w:val="20"/>
              </w:rPr>
            </w:pPr>
            <w:r>
              <w:rPr>
                <w:rFonts w:cs="Arial"/>
                <w:sz w:val="20"/>
                <w:szCs w:val="20"/>
              </w:rPr>
              <w:t>3</w:t>
            </w:r>
          </w:p>
        </w:tc>
        <w:tc>
          <w:tcPr>
            <w:tcW w:w="2197" w:type="dxa"/>
            <w:shd w:val="clear" w:color="auto" w:fill="auto"/>
          </w:tcPr>
          <w:p w14:paraId="69833A83" w14:textId="3F11A241" w:rsidR="00B23DEA" w:rsidRPr="00254313" w:rsidRDefault="00B23DEA" w:rsidP="00772D68">
            <w:pPr>
              <w:spacing w:before="20" w:after="20" w:line="240" w:lineRule="auto"/>
              <w:jc w:val="center"/>
              <w:rPr>
                <w:rFonts w:cs="Arial"/>
                <w:sz w:val="20"/>
                <w:szCs w:val="20"/>
              </w:rPr>
            </w:pPr>
            <w:r>
              <w:rPr>
                <w:rFonts w:cs="Arial"/>
                <w:sz w:val="20"/>
                <w:szCs w:val="20"/>
              </w:rPr>
              <w:t>1</w:t>
            </w:r>
          </w:p>
        </w:tc>
      </w:tr>
    </w:tbl>
    <w:p w14:paraId="25221CC2" w14:textId="77777777" w:rsidR="00772D68" w:rsidRDefault="00772D68">
      <w:pPr>
        <w:spacing w:line="240" w:lineRule="auto"/>
        <w:jc w:val="center"/>
      </w:pPr>
    </w:p>
    <w:p w14:paraId="6082BA1E" w14:textId="6CE870BD" w:rsidR="00772D68" w:rsidRPr="000B7410" w:rsidRDefault="0014272C" w:rsidP="00772D68">
      <w:pPr>
        <w:spacing w:line="240" w:lineRule="auto"/>
        <w:rPr>
          <w:sz w:val="24"/>
          <w:szCs w:val="24"/>
        </w:rPr>
      </w:pPr>
      <w:r w:rsidRPr="000B7410">
        <w:rPr>
          <w:rFonts w:cs="Arial"/>
          <w:b/>
          <w:sz w:val="24"/>
          <w:szCs w:val="24"/>
        </w:rPr>
        <w:t>Industry</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97"/>
        <w:gridCol w:w="2198"/>
      </w:tblGrid>
      <w:tr w:rsidR="008A3171" w:rsidRPr="00254313" w14:paraId="4F4CD472" w14:textId="6205BB63" w:rsidTr="008A3171">
        <w:tc>
          <w:tcPr>
            <w:tcW w:w="3794" w:type="dxa"/>
            <w:shd w:val="clear" w:color="auto" w:fill="auto"/>
          </w:tcPr>
          <w:p w14:paraId="28B60476" w14:textId="2C39FC7F" w:rsidR="008A3171" w:rsidRPr="00254313" w:rsidRDefault="008A3171" w:rsidP="0014272C">
            <w:pPr>
              <w:spacing w:line="240" w:lineRule="auto"/>
              <w:rPr>
                <w:rFonts w:cs="Arial"/>
                <w:b/>
                <w:sz w:val="20"/>
                <w:szCs w:val="20"/>
              </w:rPr>
            </w:pPr>
            <w:bookmarkStart w:id="16" w:name="_GoBack" w:colFirst="0" w:colLast="3"/>
            <w:r w:rsidRPr="00254313">
              <w:rPr>
                <w:rFonts w:cs="Arial"/>
                <w:b/>
                <w:sz w:val="20"/>
                <w:szCs w:val="20"/>
              </w:rPr>
              <w:t>Sector</w:t>
            </w:r>
          </w:p>
        </w:tc>
        <w:tc>
          <w:tcPr>
            <w:tcW w:w="2197" w:type="dxa"/>
            <w:shd w:val="clear" w:color="auto" w:fill="auto"/>
            <w:vAlign w:val="center"/>
          </w:tcPr>
          <w:p w14:paraId="69D5EF5E" w14:textId="6267A4B4" w:rsidR="008A3171" w:rsidRPr="008A3171" w:rsidRDefault="008A3171" w:rsidP="008A3171">
            <w:pPr>
              <w:spacing w:line="240" w:lineRule="auto"/>
              <w:ind w:left="34"/>
              <w:jc w:val="center"/>
              <w:rPr>
                <w:rFonts w:cs="Arial"/>
                <w:b/>
                <w:sz w:val="20"/>
                <w:szCs w:val="20"/>
              </w:rPr>
            </w:pPr>
            <w:r>
              <w:rPr>
                <w:rFonts w:cs="Arial"/>
                <w:b/>
                <w:sz w:val="20"/>
                <w:szCs w:val="20"/>
              </w:rPr>
              <w:t>No. invited</w:t>
            </w:r>
          </w:p>
        </w:tc>
        <w:tc>
          <w:tcPr>
            <w:tcW w:w="2198" w:type="dxa"/>
            <w:shd w:val="clear" w:color="auto" w:fill="auto"/>
            <w:vAlign w:val="center"/>
          </w:tcPr>
          <w:p w14:paraId="4A690E2D" w14:textId="091BC887" w:rsidR="008A3171" w:rsidRPr="00254313" w:rsidRDefault="008A3171" w:rsidP="008A3171">
            <w:pPr>
              <w:spacing w:line="240" w:lineRule="auto"/>
              <w:jc w:val="center"/>
              <w:rPr>
                <w:rFonts w:cs="Arial"/>
                <w:b/>
                <w:sz w:val="20"/>
                <w:szCs w:val="20"/>
              </w:rPr>
            </w:pPr>
            <w:r>
              <w:rPr>
                <w:rFonts w:cs="Arial"/>
                <w:b/>
                <w:sz w:val="20"/>
                <w:szCs w:val="20"/>
              </w:rPr>
              <w:t>No. a</w:t>
            </w:r>
            <w:r w:rsidRPr="00254313">
              <w:rPr>
                <w:rFonts w:cs="Arial"/>
                <w:b/>
                <w:sz w:val="20"/>
                <w:szCs w:val="20"/>
              </w:rPr>
              <w:t>ttended</w:t>
            </w:r>
          </w:p>
        </w:tc>
      </w:tr>
      <w:tr w:rsidR="008A3171" w:rsidRPr="00254313" w14:paraId="6DFEB1C9" w14:textId="47DCC9D5" w:rsidTr="008A3171">
        <w:tc>
          <w:tcPr>
            <w:tcW w:w="3794" w:type="dxa"/>
            <w:shd w:val="clear" w:color="auto" w:fill="auto"/>
          </w:tcPr>
          <w:p w14:paraId="517EF773" w14:textId="77777777" w:rsidR="008A3171" w:rsidRPr="00254313" w:rsidRDefault="008A3171" w:rsidP="0014272C">
            <w:pPr>
              <w:spacing w:line="240" w:lineRule="auto"/>
              <w:rPr>
                <w:rFonts w:cs="Arial"/>
                <w:b/>
                <w:i/>
                <w:sz w:val="20"/>
                <w:szCs w:val="20"/>
              </w:rPr>
            </w:pPr>
            <w:r w:rsidRPr="00254313">
              <w:rPr>
                <w:rFonts w:cs="Arial"/>
                <w:b/>
                <w:i/>
                <w:sz w:val="20"/>
                <w:szCs w:val="20"/>
              </w:rPr>
              <w:t>Agriculture</w:t>
            </w:r>
          </w:p>
        </w:tc>
        <w:tc>
          <w:tcPr>
            <w:tcW w:w="2197" w:type="dxa"/>
            <w:shd w:val="clear" w:color="auto" w:fill="auto"/>
            <w:vAlign w:val="center"/>
          </w:tcPr>
          <w:p w14:paraId="0EE7CF0C" w14:textId="77777777" w:rsidR="008A3171" w:rsidRPr="008A3171" w:rsidRDefault="008A3171" w:rsidP="008A3171">
            <w:pPr>
              <w:spacing w:line="240" w:lineRule="auto"/>
              <w:ind w:left="34"/>
              <w:jc w:val="center"/>
              <w:rPr>
                <w:rFonts w:cs="Arial"/>
                <w:b/>
                <w:sz w:val="20"/>
                <w:szCs w:val="20"/>
              </w:rPr>
            </w:pPr>
          </w:p>
        </w:tc>
        <w:tc>
          <w:tcPr>
            <w:tcW w:w="2198" w:type="dxa"/>
            <w:shd w:val="clear" w:color="auto" w:fill="auto"/>
            <w:vAlign w:val="center"/>
          </w:tcPr>
          <w:p w14:paraId="4F4D22FB" w14:textId="77777777" w:rsidR="008A3171" w:rsidRPr="00254313" w:rsidRDefault="008A3171" w:rsidP="008A3171">
            <w:pPr>
              <w:spacing w:line="240" w:lineRule="auto"/>
              <w:jc w:val="center"/>
              <w:rPr>
                <w:rFonts w:cs="Arial"/>
                <w:b/>
                <w:sz w:val="20"/>
                <w:szCs w:val="20"/>
              </w:rPr>
            </w:pPr>
          </w:p>
        </w:tc>
      </w:tr>
      <w:tr w:rsidR="008A3171" w:rsidRPr="00254313" w14:paraId="602CA23E" w14:textId="05FBF980" w:rsidTr="008A3171">
        <w:tc>
          <w:tcPr>
            <w:tcW w:w="3794" w:type="dxa"/>
            <w:shd w:val="clear" w:color="auto" w:fill="auto"/>
          </w:tcPr>
          <w:p w14:paraId="5EF74F39" w14:textId="77777777" w:rsidR="008A3171" w:rsidRPr="00254313" w:rsidRDefault="008A3171" w:rsidP="0014272C">
            <w:pPr>
              <w:spacing w:line="240" w:lineRule="auto"/>
              <w:rPr>
                <w:rFonts w:cs="Arial"/>
                <w:sz w:val="20"/>
                <w:szCs w:val="20"/>
              </w:rPr>
            </w:pPr>
            <w:r w:rsidRPr="00254313">
              <w:rPr>
                <w:rFonts w:cs="Arial"/>
                <w:sz w:val="20"/>
                <w:szCs w:val="20"/>
              </w:rPr>
              <w:t>Grains</w:t>
            </w:r>
          </w:p>
        </w:tc>
        <w:tc>
          <w:tcPr>
            <w:tcW w:w="2197" w:type="dxa"/>
            <w:shd w:val="clear" w:color="auto" w:fill="auto"/>
            <w:vAlign w:val="center"/>
          </w:tcPr>
          <w:p w14:paraId="381386F1" w14:textId="48A85946" w:rsidR="008A3171" w:rsidRPr="008A3171" w:rsidRDefault="008A3171" w:rsidP="008A3171">
            <w:pPr>
              <w:spacing w:line="240" w:lineRule="auto"/>
              <w:ind w:left="34"/>
              <w:jc w:val="center"/>
              <w:rPr>
                <w:rFonts w:cs="Arial"/>
                <w:sz w:val="20"/>
                <w:szCs w:val="20"/>
              </w:rPr>
            </w:pPr>
            <w:r>
              <w:rPr>
                <w:rFonts w:cs="Arial"/>
                <w:sz w:val="20"/>
                <w:szCs w:val="20"/>
              </w:rPr>
              <w:t>2</w:t>
            </w:r>
          </w:p>
        </w:tc>
        <w:tc>
          <w:tcPr>
            <w:tcW w:w="2198" w:type="dxa"/>
            <w:shd w:val="clear" w:color="auto" w:fill="auto"/>
            <w:vAlign w:val="center"/>
          </w:tcPr>
          <w:p w14:paraId="30B99107" w14:textId="5F532760" w:rsidR="008A3171" w:rsidRPr="00254313" w:rsidRDefault="008A3171" w:rsidP="008A3171">
            <w:pPr>
              <w:spacing w:line="240" w:lineRule="auto"/>
              <w:contextualSpacing/>
              <w:jc w:val="center"/>
              <w:rPr>
                <w:rFonts w:cs="Arial"/>
                <w:sz w:val="20"/>
                <w:szCs w:val="20"/>
              </w:rPr>
            </w:pPr>
            <w:r>
              <w:rPr>
                <w:rFonts w:cs="Arial"/>
                <w:sz w:val="20"/>
                <w:szCs w:val="20"/>
              </w:rPr>
              <w:t>2</w:t>
            </w:r>
          </w:p>
        </w:tc>
      </w:tr>
      <w:tr w:rsidR="008A3171" w:rsidRPr="00254313" w14:paraId="436F3BD7" w14:textId="2FC1DE8C" w:rsidTr="008A3171">
        <w:tc>
          <w:tcPr>
            <w:tcW w:w="3794" w:type="dxa"/>
            <w:shd w:val="clear" w:color="auto" w:fill="auto"/>
          </w:tcPr>
          <w:p w14:paraId="2B59046F" w14:textId="5C0BB840" w:rsidR="008A3171" w:rsidRPr="00254313" w:rsidRDefault="008A3171" w:rsidP="0014272C">
            <w:pPr>
              <w:spacing w:line="240" w:lineRule="auto"/>
              <w:rPr>
                <w:rFonts w:cs="Arial"/>
                <w:sz w:val="20"/>
                <w:szCs w:val="20"/>
              </w:rPr>
            </w:pPr>
            <w:r w:rsidRPr="00254313">
              <w:rPr>
                <w:rFonts w:cs="Arial"/>
                <w:sz w:val="20"/>
                <w:szCs w:val="20"/>
              </w:rPr>
              <w:t>Cattle</w:t>
            </w:r>
          </w:p>
        </w:tc>
        <w:tc>
          <w:tcPr>
            <w:tcW w:w="2197" w:type="dxa"/>
            <w:shd w:val="clear" w:color="auto" w:fill="auto"/>
            <w:vAlign w:val="center"/>
          </w:tcPr>
          <w:p w14:paraId="0F296E0A" w14:textId="7D75AD17" w:rsidR="008A3171" w:rsidRPr="008A3171" w:rsidRDefault="008A3171" w:rsidP="008A3171">
            <w:pPr>
              <w:spacing w:line="240" w:lineRule="auto"/>
              <w:ind w:left="34"/>
              <w:jc w:val="center"/>
              <w:rPr>
                <w:rFonts w:cs="Arial"/>
                <w:sz w:val="20"/>
                <w:szCs w:val="20"/>
              </w:rPr>
            </w:pPr>
            <w:r>
              <w:rPr>
                <w:rFonts w:cs="Arial"/>
                <w:sz w:val="20"/>
                <w:szCs w:val="20"/>
              </w:rPr>
              <w:t>2</w:t>
            </w:r>
          </w:p>
        </w:tc>
        <w:tc>
          <w:tcPr>
            <w:tcW w:w="2198" w:type="dxa"/>
            <w:shd w:val="clear" w:color="auto" w:fill="auto"/>
            <w:vAlign w:val="center"/>
          </w:tcPr>
          <w:p w14:paraId="3FBCC807" w14:textId="141A707C" w:rsidR="008A3171" w:rsidRPr="00254313" w:rsidRDefault="008A3171" w:rsidP="008A3171">
            <w:pPr>
              <w:spacing w:line="240" w:lineRule="auto"/>
              <w:contextualSpacing/>
              <w:jc w:val="center"/>
              <w:rPr>
                <w:rFonts w:cs="Arial"/>
                <w:sz w:val="20"/>
                <w:szCs w:val="20"/>
              </w:rPr>
            </w:pPr>
            <w:r>
              <w:rPr>
                <w:rFonts w:cs="Arial"/>
                <w:sz w:val="20"/>
                <w:szCs w:val="20"/>
              </w:rPr>
              <w:t>2</w:t>
            </w:r>
          </w:p>
        </w:tc>
      </w:tr>
      <w:tr w:rsidR="008A3171" w:rsidRPr="00254313" w14:paraId="323174CF" w14:textId="3DD8F8C5" w:rsidTr="008A3171">
        <w:tc>
          <w:tcPr>
            <w:tcW w:w="3794" w:type="dxa"/>
            <w:shd w:val="clear" w:color="auto" w:fill="auto"/>
          </w:tcPr>
          <w:p w14:paraId="1D578884" w14:textId="77777777" w:rsidR="008A3171" w:rsidRPr="00254313" w:rsidRDefault="008A3171" w:rsidP="0014272C">
            <w:pPr>
              <w:spacing w:line="240" w:lineRule="auto"/>
              <w:rPr>
                <w:rFonts w:cs="Arial"/>
                <w:sz w:val="20"/>
                <w:szCs w:val="20"/>
              </w:rPr>
            </w:pPr>
            <w:r w:rsidRPr="00254313">
              <w:rPr>
                <w:rFonts w:cs="Arial"/>
                <w:sz w:val="20"/>
                <w:szCs w:val="20"/>
              </w:rPr>
              <w:t>Sheep and Goats</w:t>
            </w:r>
          </w:p>
        </w:tc>
        <w:tc>
          <w:tcPr>
            <w:tcW w:w="2197" w:type="dxa"/>
            <w:shd w:val="clear" w:color="auto" w:fill="auto"/>
            <w:vAlign w:val="center"/>
          </w:tcPr>
          <w:p w14:paraId="6A113BD6" w14:textId="267E4351" w:rsidR="008A3171" w:rsidRPr="008A3171" w:rsidRDefault="008A3171" w:rsidP="008A3171">
            <w:pPr>
              <w:spacing w:line="240" w:lineRule="auto"/>
              <w:ind w:left="34"/>
              <w:jc w:val="center"/>
              <w:rPr>
                <w:rFonts w:cs="Arial"/>
                <w:sz w:val="20"/>
                <w:szCs w:val="20"/>
              </w:rPr>
            </w:pPr>
            <w:r>
              <w:rPr>
                <w:rFonts w:cs="Arial"/>
                <w:sz w:val="20"/>
                <w:szCs w:val="20"/>
              </w:rPr>
              <w:t>2</w:t>
            </w:r>
          </w:p>
        </w:tc>
        <w:tc>
          <w:tcPr>
            <w:tcW w:w="2198" w:type="dxa"/>
            <w:shd w:val="clear" w:color="auto" w:fill="auto"/>
            <w:vAlign w:val="center"/>
          </w:tcPr>
          <w:p w14:paraId="7E3716EB" w14:textId="5559FA05"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070D0F7B" w14:textId="085E75DB" w:rsidTr="008A3171">
        <w:tc>
          <w:tcPr>
            <w:tcW w:w="3794" w:type="dxa"/>
            <w:shd w:val="clear" w:color="auto" w:fill="auto"/>
          </w:tcPr>
          <w:p w14:paraId="2E5AEA8A" w14:textId="77777777" w:rsidR="008A3171" w:rsidRPr="00254313" w:rsidRDefault="008A3171" w:rsidP="0014272C">
            <w:pPr>
              <w:spacing w:line="240" w:lineRule="auto"/>
              <w:rPr>
                <w:rFonts w:cs="Arial"/>
                <w:b/>
                <w:i/>
                <w:sz w:val="20"/>
                <w:szCs w:val="20"/>
              </w:rPr>
            </w:pPr>
            <w:r w:rsidRPr="00254313">
              <w:rPr>
                <w:rFonts w:cs="Arial"/>
                <w:b/>
                <w:i/>
                <w:sz w:val="20"/>
                <w:szCs w:val="20"/>
              </w:rPr>
              <w:t>Horticulture/floriculture</w:t>
            </w:r>
          </w:p>
        </w:tc>
        <w:tc>
          <w:tcPr>
            <w:tcW w:w="2197" w:type="dxa"/>
            <w:shd w:val="clear" w:color="auto" w:fill="auto"/>
            <w:vAlign w:val="center"/>
          </w:tcPr>
          <w:p w14:paraId="70E47297" w14:textId="77777777" w:rsidR="008A3171" w:rsidRPr="008A3171" w:rsidRDefault="008A3171" w:rsidP="008A3171">
            <w:pPr>
              <w:spacing w:line="240" w:lineRule="auto"/>
              <w:ind w:left="34"/>
              <w:jc w:val="center"/>
              <w:rPr>
                <w:rFonts w:cs="Arial"/>
                <w:b/>
                <w:sz w:val="20"/>
                <w:szCs w:val="20"/>
              </w:rPr>
            </w:pPr>
          </w:p>
        </w:tc>
        <w:tc>
          <w:tcPr>
            <w:tcW w:w="2198" w:type="dxa"/>
            <w:shd w:val="clear" w:color="auto" w:fill="auto"/>
            <w:vAlign w:val="center"/>
          </w:tcPr>
          <w:p w14:paraId="58E8DFAD" w14:textId="77777777" w:rsidR="008A3171" w:rsidRPr="00254313" w:rsidRDefault="008A3171" w:rsidP="008A3171">
            <w:pPr>
              <w:spacing w:line="240" w:lineRule="auto"/>
              <w:jc w:val="center"/>
              <w:rPr>
                <w:rFonts w:cs="Arial"/>
                <w:b/>
                <w:sz w:val="20"/>
                <w:szCs w:val="20"/>
              </w:rPr>
            </w:pPr>
          </w:p>
        </w:tc>
      </w:tr>
      <w:tr w:rsidR="008A3171" w:rsidRPr="00254313" w14:paraId="3E05A6DB" w14:textId="5675D237" w:rsidTr="008A3171">
        <w:tc>
          <w:tcPr>
            <w:tcW w:w="3794" w:type="dxa"/>
            <w:shd w:val="clear" w:color="auto" w:fill="auto"/>
          </w:tcPr>
          <w:p w14:paraId="1B17A87E" w14:textId="77777777" w:rsidR="008A3171" w:rsidRPr="00254313" w:rsidRDefault="008A3171" w:rsidP="0014272C">
            <w:pPr>
              <w:spacing w:line="240" w:lineRule="auto"/>
              <w:rPr>
                <w:rFonts w:cs="Arial"/>
                <w:sz w:val="20"/>
                <w:szCs w:val="20"/>
              </w:rPr>
            </w:pPr>
            <w:r w:rsidRPr="00254313">
              <w:rPr>
                <w:rFonts w:cs="Arial"/>
                <w:sz w:val="20"/>
                <w:szCs w:val="20"/>
              </w:rPr>
              <w:t>Pome West</w:t>
            </w:r>
          </w:p>
        </w:tc>
        <w:tc>
          <w:tcPr>
            <w:tcW w:w="2197" w:type="dxa"/>
            <w:shd w:val="clear" w:color="auto" w:fill="auto"/>
            <w:vAlign w:val="center"/>
          </w:tcPr>
          <w:p w14:paraId="75A7B633" w14:textId="54E94CEC" w:rsidR="008A3171" w:rsidRPr="008A3171" w:rsidRDefault="008A3171" w:rsidP="008A3171">
            <w:pPr>
              <w:spacing w:line="240" w:lineRule="auto"/>
              <w:ind w:left="34"/>
              <w:jc w:val="center"/>
              <w:rPr>
                <w:rFonts w:cs="Arial"/>
                <w:sz w:val="20"/>
                <w:szCs w:val="20"/>
              </w:rPr>
            </w:pPr>
            <w:r>
              <w:rPr>
                <w:rFonts w:cs="Arial"/>
                <w:sz w:val="20"/>
                <w:szCs w:val="20"/>
              </w:rPr>
              <w:t>1</w:t>
            </w:r>
          </w:p>
        </w:tc>
        <w:tc>
          <w:tcPr>
            <w:tcW w:w="2198" w:type="dxa"/>
            <w:shd w:val="clear" w:color="auto" w:fill="auto"/>
            <w:vAlign w:val="center"/>
          </w:tcPr>
          <w:p w14:paraId="231A5593" w14:textId="77D97BC3"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73EEFFB6" w14:textId="221BAC52" w:rsidTr="008A3171">
        <w:tc>
          <w:tcPr>
            <w:tcW w:w="3794" w:type="dxa"/>
            <w:shd w:val="clear" w:color="auto" w:fill="auto"/>
          </w:tcPr>
          <w:p w14:paraId="79DF01C9" w14:textId="77777777" w:rsidR="008A3171" w:rsidRPr="00254313" w:rsidRDefault="008A3171" w:rsidP="0014272C">
            <w:pPr>
              <w:spacing w:line="240" w:lineRule="auto"/>
              <w:rPr>
                <w:rFonts w:cs="Arial"/>
                <w:sz w:val="20"/>
                <w:szCs w:val="20"/>
              </w:rPr>
            </w:pPr>
            <w:r w:rsidRPr="00254313">
              <w:rPr>
                <w:rFonts w:cs="Arial"/>
                <w:sz w:val="20"/>
                <w:szCs w:val="20"/>
              </w:rPr>
              <w:t>Bee keepers</w:t>
            </w:r>
          </w:p>
        </w:tc>
        <w:tc>
          <w:tcPr>
            <w:tcW w:w="2197" w:type="dxa"/>
            <w:shd w:val="clear" w:color="auto" w:fill="auto"/>
            <w:vAlign w:val="center"/>
          </w:tcPr>
          <w:p w14:paraId="7B54813D" w14:textId="1538D30D" w:rsidR="008A3171" w:rsidRPr="008A3171" w:rsidRDefault="008A3171" w:rsidP="008A3171">
            <w:pPr>
              <w:spacing w:line="240" w:lineRule="auto"/>
              <w:ind w:left="34"/>
              <w:jc w:val="center"/>
              <w:rPr>
                <w:rFonts w:cs="Arial"/>
                <w:sz w:val="20"/>
                <w:szCs w:val="20"/>
              </w:rPr>
            </w:pPr>
            <w:r>
              <w:rPr>
                <w:rFonts w:cs="Arial"/>
                <w:sz w:val="20"/>
                <w:szCs w:val="20"/>
              </w:rPr>
              <w:t>1</w:t>
            </w:r>
          </w:p>
        </w:tc>
        <w:tc>
          <w:tcPr>
            <w:tcW w:w="2198" w:type="dxa"/>
            <w:shd w:val="clear" w:color="auto" w:fill="auto"/>
            <w:vAlign w:val="center"/>
          </w:tcPr>
          <w:p w14:paraId="6FDA7935" w14:textId="6D6DE1E5"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744A4FB7" w14:textId="375FC9F9" w:rsidTr="008A3171">
        <w:tc>
          <w:tcPr>
            <w:tcW w:w="3794" w:type="dxa"/>
            <w:shd w:val="clear" w:color="auto" w:fill="auto"/>
          </w:tcPr>
          <w:p w14:paraId="32D4E161" w14:textId="77777777" w:rsidR="008A3171" w:rsidRPr="00254313" w:rsidRDefault="008A3171" w:rsidP="0014272C">
            <w:pPr>
              <w:spacing w:line="240" w:lineRule="auto"/>
              <w:rPr>
                <w:rFonts w:cs="Arial"/>
                <w:sz w:val="20"/>
                <w:szCs w:val="20"/>
              </w:rPr>
            </w:pPr>
            <w:r w:rsidRPr="00254313">
              <w:rPr>
                <w:rFonts w:cs="Arial"/>
                <w:sz w:val="20"/>
                <w:szCs w:val="20"/>
              </w:rPr>
              <w:t>Stone fruit</w:t>
            </w:r>
          </w:p>
        </w:tc>
        <w:tc>
          <w:tcPr>
            <w:tcW w:w="2197" w:type="dxa"/>
            <w:shd w:val="clear" w:color="auto" w:fill="auto"/>
            <w:vAlign w:val="center"/>
          </w:tcPr>
          <w:p w14:paraId="2BD70E3F" w14:textId="400560FB" w:rsidR="008A3171" w:rsidRPr="008A3171" w:rsidRDefault="008A3171" w:rsidP="008A3171">
            <w:pPr>
              <w:spacing w:line="240" w:lineRule="auto"/>
              <w:ind w:left="34"/>
              <w:jc w:val="center"/>
              <w:rPr>
                <w:rFonts w:cs="Arial"/>
                <w:sz w:val="20"/>
                <w:szCs w:val="20"/>
              </w:rPr>
            </w:pPr>
            <w:r>
              <w:rPr>
                <w:rFonts w:cs="Arial"/>
                <w:sz w:val="20"/>
                <w:szCs w:val="20"/>
              </w:rPr>
              <w:t>1</w:t>
            </w:r>
          </w:p>
        </w:tc>
        <w:tc>
          <w:tcPr>
            <w:tcW w:w="2198" w:type="dxa"/>
            <w:shd w:val="clear" w:color="auto" w:fill="auto"/>
            <w:vAlign w:val="center"/>
          </w:tcPr>
          <w:p w14:paraId="3C58702A" w14:textId="7B83F4F2"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3BD83114" w14:textId="17C11167" w:rsidTr="008A3171">
        <w:tc>
          <w:tcPr>
            <w:tcW w:w="3794" w:type="dxa"/>
            <w:shd w:val="clear" w:color="auto" w:fill="auto"/>
          </w:tcPr>
          <w:p w14:paraId="61E10E99" w14:textId="77777777"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Vegetables</w:t>
            </w:r>
          </w:p>
        </w:tc>
        <w:tc>
          <w:tcPr>
            <w:tcW w:w="2197" w:type="dxa"/>
            <w:shd w:val="clear" w:color="auto" w:fill="auto"/>
            <w:vAlign w:val="center"/>
          </w:tcPr>
          <w:p w14:paraId="11F9EBCF" w14:textId="29664D0F"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49B594E1" w14:textId="1058EA84"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518A0EB7" w14:textId="027F7FE2" w:rsidTr="008A3171">
        <w:tc>
          <w:tcPr>
            <w:tcW w:w="3794" w:type="dxa"/>
            <w:shd w:val="clear" w:color="auto" w:fill="auto"/>
          </w:tcPr>
          <w:p w14:paraId="6FDF8DAD" w14:textId="77777777"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Nursery and Garden Industry WA</w:t>
            </w:r>
          </w:p>
        </w:tc>
        <w:tc>
          <w:tcPr>
            <w:tcW w:w="2197" w:type="dxa"/>
            <w:shd w:val="clear" w:color="auto" w:fill="auto"/>
            <w:vAlign w:val="center"/>
          </w:tcPr>
          <w:p w14:paraId="6E4B15A3" w14:textId="54A7040D"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6B4576DA" w14:textId="3E299482"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73854D8F" w14:textId="3ADEF58C" w:rsidTr="008A3171">
        <w:tc>
          <w:tcPr>
            <w:tcW w:w="3794" w:type="dxa"/>
            <w:shd w:val="clear" w:color="auto" w:fill="auto"/>
          </w:tcPr>
          <w:p w14:paraId="3151F945" w14:textId="72284418"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Citrus industry</w:t>
            </w:r>
          </w:p>
        </w:tc>
        <w:tc>
          <w:tcPr>
            <w:tcW w:w="2197" w:type="dxa"/>
            <w:shd w:val="clear" w:color="auto" w:fill="auto"/>
            <w:vAlign w:val="center"/>
          </w:tcPr>
          <w:p w14:paraId="30D4A4DC" w14:textId="26534B21"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68C548C3" w14:textId="5C330ECD"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2ACBC665" w14:textId="3B8F353A" w:rsidTr="008A3171">
        <w:tc>
          <w:tcPr>
            <w:tcW w:w="3794" w:type="dxa"/>
            <w:shd w:val="clear" w:color="auto" w:fill="auto"/>
          </w:tcPr>
          <w:p w14:paraId="3863701A" w14:textId="77777777" w:rsidR="008A3171" w:rsidRPr="00254313" w:rsidRDefault="008A3171" w:rsidP="0014272C">
            <w:pPr>
              <w:spacing w:line="240" w:lineRule="auto"/>
              <w:rPr>
                <w:rFonts w:cs="Arial"/>
                <w:b/>
                <w:i/>
                <w:sz w:val="20"/>
                <w:szCs w:val="20"/>
              </w:rPr>
            </w:pPr>
            <w:r w:rsidRPr="00254313">
              <w:rPr>
                <w:rFonts w:cs="Arial"/>
                <w:b/>
                <w:i/>
                <w:sz w:val="20"/>
                <w:szCs w:val="20"/>
              </w:rPr>
              <w:t>Forestry</w:t>
            </w:r>
          </w:p>
        </w:tc>
        <w:tc>
          <w:tcPr>
            <w:tcW w:w="2197" w:type="dxa"/>
            <w:shd w:val="clear" w:color="auto" w:fill="auto"/>
            <w:vAlign w:val="center"/>
          </w:tcPr>
          <w:p w14:paraId="59D06551" w14:textId="77777777" w:rsidR="008A3171" w:rsidRPr="008A3171" w:rsidRDefault="008A3171" w:rsidP="008A3171">
            <w:pPr>
              <w:spacing w:line="240" w:lineRule="auto"/>
              <w:ind w:left="34"/>
              <w:jc w:val="center"/>
              <w:rPr>
                <w:rFonts w:cs="Arial"/>
                <w:b/>
                <w:i/>
                <w:sz w:val="20"/>
                <w:szCs w:val="20"/>
              </w:rPr>
            </w:pPr>
          </w:p>
        </w:tc>
        <w:tc>
          <w:tcPr>
            <w:tcW w:w="2198" w:type="dxa"/>
            <w:shd w:val="clear" w:color="auto" w:fill="auto"/>
            <w:vAlign w:val="center"/>
          </w:tcPr>
          <w:p w14:paraId="61C56DD9" w14:textId="77777777" w:rsidR="008A3171" w:rsidRPr="00254313" w:rsidRDefault="008A3171" w:rsidP="008A3171">
            <w:pPr>
              <w:spacing w:line="240" w:lineRule="auto"/>
              <w:jc w:val="center"/>
              <w:rPr>
                <w:rFonts w:cs="Arial"/>
                <w:b/>
                <w:i/>
                <w:sz w:val="20"/>
                <w:szCs w:val="20"/>
              </w:rPr>
            </w:pPr>
          </w:p>
        </w:tc>
      </w:tr>
      <w:tr w:rsidR="008A3171" w:rsidRPr="00254313" w14:paraId="2489D508" w14:textId="4E194CFA" w:rsidTr="008A3171">
        <w:tc>
          <w:tcPr>
            <w:tcW w:w="3794" w:type="dxa"/>
            <w:shd w:val="clear" w:color="auto" w:fill="auto"/>
          </w:tcPr>
          <w:p w14:paraId="6686CEBB" w14:textId="77777777" w:rsidR="008A3171" w:rsidRPr="00254313" w:rsidRDefault="008A3171" w:rsidP="0014272C">
            <w:pPr>
              <w:spacing w:line="240" w:lineRule="auto"/>
              <w:rPr>
                <w:rStyle w:val="CommentReference"/>
                <w:rFonts w:cs="Arial"/>
                <w:sz w:val="20"/>
                <w:szCs w:val="20"/>
              </w:rPr>
            </w:pPr>
            <w:r w:rsidRPr="00254313">
              <w:rPr>
                <w:rFonts w:cs="Arial"/>
                <w:sz w:val="20"/>
                <w:szCs w:val="20"/>
              </w:rPr>
              <w:t>Forest Industries Federation WA</w:t>
            </w:r>
          </w:p>
        </w:tc>
        <w:tc>
          <w:tcPr>
            <w:tcW w:w="2197" w:type="dxa"/>
            <w:shd w:val="clear" w:color="auto" w:fill="auto"/>
            <w:vAlign w:val="center"/>
          </w:tcPr>
          <w:p w14:paraId="4455A438" w14:textId="6475F3BF" w:rsidR="008A3171" w:rsidRPr="008A3171" w:rsidRDefault="008A3171" w:rsidP="008A3171">
            <w:pPr>
              <w:spacing w:line="240" w:lineRule="auto"/>
              <w:ind w:left="34"/>
              <w:jc w:val="center"/>
              <w:rPr>
                <w:rFonts w:cs="Arial"/>
                <w:sz w:val="20"/>
                <w:szCs w:val="20"/>
              </w:rPr>
            </w:pPr>
            <w:r>
              <w:rPr>
                <w:rFonts w:cs="Arial"/>
                <w:sz w:val="20"/>
                <w:szCs w:val="20"/>
              </w:rPr>
              <w:t>3</w:t>
            </w:r>
          </w:p>
        </w:tc>
        <w:tc>
          <w:tcPr>
            <w:tcW w:w="2198" w:type="dxa"/>
            <w:shd w:val="clear" w:color="auto" w:fill="auto"/>
            <w:vAlign w:val="center"/>
          </w:tcPr>
          <w:p w14:paraId="3968B904" w14:textId="2DCBA491"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2723F63A" w14:textId="7AA1BF0B" w:rsidTr="008A3171">
        <w:tc>
          <w:tcPr>
            <w:tcW w:w="3794" w:type="dxa"/>
            <w:shd w:val="clear" w:color="auto" w:fill="auto"/>
          </w:tcPr>
          <w:p w14:paraId="56BE61D5" w14:textId="6E74440F" w:rsidR="008A3171" w:rsidRPr="00254313" w:rsidRDefault="008A3171" w:rsidP="0014272C">
            <w:pPr>
              <w:spacing w:line="240" w:lineRule="auto"/>
              <w:rPr>
                <w:rFonts w:cs="Arial"/>
                <w:b/>
                <w:i/>
                <w:sz w:val="20"/>
                <w:szCs w:val="20"/>
              </w:rPr>
            </w:pPr>
            <w:r w:rsidRPr="00254313">
              <w:rPr>
                <w:rFonts w:cs="Arial"/>
                <w:b/>
                <w:i/>
                <w:sz w:val="20"/>
                <w:szCs w:val="20"/>
              </w:rPr>
              <w:t>Fisheries</w:t>
            </w:r>
          </w:p>
        </w:tc>
        <w:tc>
          <w:tcPr>
            <w:tcW w:w="2197" w:type="dxa"/>
            <w:shd w:val="clear" w:color="auto" w:fill="auto"/>
            <w:vAlign w:val="center"/>
          </w:tcPr>
          <w:p w14:paraId="60BBFE9F" w14:textId="77777777" w:rsidR="008A3171" w:rsidRPr="008A3171" w:rsidRDefault="008A3171" w:rsidP="008A3171">
            <w:pPr>
              <w:spacing w:line="240" w:lineRule="auto"/>
              <w:ind w:left="34"/>
              <w:jc w:val="center"/>
              <w:rPr>
                <w:rFonts w:cs="Arial"/>
                <w:b/>
                <w:i/>
                <w:sz w:val="20"/>
                <w:szCs w:val="20"/>
              </w:rPr>
            </w:pPr>
          </w:p>
        </w:tc>
        <w:tc>
          <w:tcPr>
            <w:tcW w:w="2198" w:type="dxa"/>
            <w:shd w:val="clear" w:color="auto" w:fill="auto"/>
            <w:vAlign w:val="center"/>
          </w:tcPr>
          <w:p w14:paraId="366A6C38" w14:textId="77777777" w:rsidR="008A3171" w:rsidRPr="00254313" w:rsidRDefault="008A3171" w:rsidP="008A3171">
            <w:pPr>
              <w:spacing w:line="240" w:lineRule="auto"/>
              <w:jc w:val="center"/>
              <w:rPr>
                <w:rFonts w:cs="Arial"/>
                <w:b/>
                <w:i/>
                <w:sz w:val="20"/>
                <w:szCs w:val="20"/>
              </w:rPr>
            </w:pPr>
          </w:p>
        </w:tc>
      </w:tr>
      <w:tr w:rsidR="008A3171" w:rsidRPr="00254313" w14:paraId="238E44B5" w14:textId="0F907866" w:rsidTr="008A3171">
        <w:tc>
          <w:tcPr>
            <w:tcW w:w="3794" w:type="dxa"/>
            <w:shd w:val="clear" w:color="auto" w:fill="auto"/>
          </w:tcPr>
          <w:p w14:paraId="29A9C818" w14:textId="77777777"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WA Fishing Industries Council</w:t>
            </w:r>
          </w:p>
        </w:tc>
        <w:tc>
          <w:tcPr>
            <w:tcW w:w="2197" w:type="dxa"/>
            <w:shd w:val="clear" w:color="auto" w:fill="auto"/>
            <w:vAlign w:val="center"/>
          </w:tcPr>
          <w:p w14:paraId="716DFCF5" w14:textId="1C14E086"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68649B51" w14:textId="78751D33"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3D61A195" w14:textId="25FE80B6" w:rsidTr="008A3171">
        <w:tc>
          <w:tcPr>
            <w:tcW w:w="3794" w:type="dxa"/>
            <w:shd w:val="clear" w:color="auto" w:fill="auto"/>
          </w:tcPr>
          <w:p w14:paraId="23EE976B" w14:textId="77777777"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Aquaculture Council of WA</w:t>
            </w:r>
          </w:p>
        </w:tc>
        <w:tc>
          <w:tcPr>
            <w:tcW w:w="2197" w:type="dxa"/>
            <w:shd w:val="clear" w:color="auto" w:fill="auto"/>
            <w:vAlign w:val="center"/>
          </w:tcPr>
          <w:p w14:paraId="1333982D" w14:textId="67F62B00"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5A2B4B35" w14:textId="3FEE1527"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47E0EE6B" w14:textId="23FC0588" w:rsidTr="008A3171">
        <w:tc>
          <w:tcPr>
            <w:tcW w:w="3794" w:type="dxa"/>
            <w:shd w:val="clear" w:color="auto" w:fill="auto"/>
          </w:tcPr>
          <w:p w14:paraId="6580A38C" w14:textId="77777777" w:rsidR="008A3171" w:rsidRPr="00254313" w:rsidRDefault="008A3171" w:rsidP="0014272C">
            <w:pPr>
              <w:spacing w:line="240" w:lineRule="auto"/>
              <w:rPr>
                <w:rFonts w:eastAsia="Times New Roman" w:cs="Arial"/>
                <w:sz w:val="20"/>
                <w:szCs w:val="20"/>
                <w:lang w:eastAsia="en-AU"/>
              </w:rPr>
            </w:pPr>
            <w:proofErr w:type="spellStart"/>
            <w:r w:rsidRPr="00254313">
              <w:rPr>
                <w:rFonts w:eastAsia="Times New Roman" w:cs="Arial"/>
                <w:sz w:val="20"/>
                <w:szCs w:val="20"/>
                <w:lang w:eastAsia="en-AU"/>
              </w:rPr>
              <w:t>RecFishWest</w:t>
            </w:r>
            <w:proofErr w:type="spellEnd"/>
          </w:p>
        </w:tc>
        <w:tc>
          <w:tcPr>
            <w:tcW w:w="2197" w:type="dxa"/>
            <w:shd w:val="clear" w:color="auto" w:fill="auto"/>
            <w:vAlign w:val="center"/>
          </w:tcPr>
          <w:p w14:paraId="130F2A92" w14:textId="69DC9349"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11E9F275" w14:textId="2BAE5B1A"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000C7CDD" w14:textId="51D24EBE" w:rsidTr="008A3171">
        <w:tc>
          <w:tcPr>
            <w:tcW w:w="3794" w:type="dxa"/>
            <w:shd w:val="clear" w:color="auto" w:fill="auto"/>
          </w:tcPr>
          <w:p w14:paraId="1B274E5F" w14:textId="77777777"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Pearl Producers Association</w:t>
            </w:r>
          </w:p>
        </w:tc>
        <w:tc>
          <w:tcPr>
            <w:tcW w:w="2197" w:type="dxa"/>
            <w:shd w:val="clear" w:color="auto" w:fill="auto"/>
            <w:vAlign w:val="center"/>
          </w:tcPr>
          <w:p w14:paraId="4DF661A3" w14:textId="4E0B5420"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1F439541" w14:textId="5AE9B76E"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751E0B37" w14:textId="411C23E2" w:rsidTr="008A3171">
        <w:tc>
          <w:tcPr>
            <w:tcW w:w="3794" w:type="dxa"/>
            <w:shd w:val="clear" w:color="auto" w:fill="auto"/>
          </w:tcPr>
          <w:p w14:paraId="240568C4" w14:textId="7C7C1A57" w:rsidR="008A3171" w:rsidRPr="00254313" w:rsidRDefault="008A3171" w:rsidP="0014272C">
            <w:pPr>
              <w:spacing w:line="240" w:lineRule="auto"/>
              <w:rPr>
                <w:rFonts w:eastAsia="Times New Roman" w:cs="Arial"/>
                <w:sz w:val="20"/>
                <w:szCs w:val="20"/>
                <w:lang w:eastAsia="en-AU"/>
              </w:rPr>
            </w:pPr>
            <w:r w:rsidRPr="00254313">
              <w:rPr>
                <w:rFonts w:cs="Arial"/>
                <w:b/>
                <w:i/>
                <w:sz w:val="20"/>
                <w:szCs w:val="20"/>
              </w:rPr>
              <w:t>Resources</w:t>
            </w:r>
          </w:p>
        </w:tc>
        <w:tc>
          <w:tcPr>
            <w:tcW w:w="2197" w:type="dxa"/>
            <w:shd w:val="clear" w:color="auto" w:fill="auto"/>
            <w:vAlign w:val="center"/>
          </w:tcPr>
          <w:p w14:paraId="7E90ECCF" w14:textId="77777777" w:rsidR="008A3171" w:rsidRPr="008A3171" w:rsidRDefault="008A3171" w:rsidP="008A3171">
            <w:pPr>
              <w:spacing w:line="240" w:lineRule="auto"/>
              <w:ind w:left="34"/>
              <w:jc w:val="center"/>
              <w:rPr>
                <w:rFonts w:eastAsia="Times New Roman" w:cs="Arial"/>
                <w:sz w:val="20"/>
                <w:szCs w:val="20"/>
                <w:lang w:eastAsia="en-AU"/>
              </w:rPr>
            </w:pPr>
          </w:p>
        </w:tc>
        <w:tc>
          <w:tcPr>
            <w:tcW w:w="2198" w:type="dxa"/>
            <w:shd w:val="clear" w:color="auto" w:fill="auto"/>
            <w:vAlign w:val="center"/>
          </w:tcPr>
          <w:p w14:paraId="18D9C317" w14:textId="77777777" w:rsidR="008A3171" w:rsidRPr="00254313" w:rsidRDefault="008A3171" w:rsidP="008A3171">
            <w:pPr>
              <w:spacing w:line="240" w:lineRule="auto"/>
              <w:contextualSpacing/>
              <w:jc w:val="center"/>
              <w:rPr>
                <w:rFonts w:eastAsia="Times New Roman" w:cs="Arial"/>
                <w:sz w:val="20"/>
                <w:szCs w:val="20"/>
                <w:lang w:eastAsia="en-AU"/>
              </w:rPr>
            </w:pPr>
          </w:p>
        </w:tc>
      </w:tr>
      <w:tr w:rsidR="008A3171" w:rsidRPr="00254313" w14:paraId="09AD571E" w14:textId="34811CBF" w:rsidTr="008A3171">
        <w:tc>
          <w:tcPr>
            <w:tcW w:w="3794" w:type="dxa"/>
            <w:shd w:val="clear" w:color="auto" w:fill="auto"/>
          </w:tcPr>
          <w:p w14:paraId="444AF271" w14:textId="59F3D790" w:rsidR="008A3171" w:rsidRPr="00254313" w:rsidRDefault="008A3171" w:rsidP="0014272C">
            <w:pPr>
              <w:spacing w:line="240" w:lineRule="auto"/>
              <w:rPr>
                <w:rFonts w:eastAsia="Times New Roman" w:cs="Arial"/>
                <w:sz w:val="20"/>
                <w:szCs w:val="20"/>
                <w:lang w:eastAsia="en-AU"/>
              </w:rPr>
            </w:pPr>
            <w:r w:rsidRPr="00254313">
              <w:rPr>
                <w:rFonts w:eastAsia="Times New Roman" w:cs="Arial"/>
                <w:sz w:val="20"/>
                <w:szCs w:val="20"/>
                <w:lang w:eastAsia="en-AU"/>
              </w:rPr>
              <w:t>Iluka Resources</w:t>
            </w:r>
          </w:p>
        </w:tc>
        <w:tc>
          <w:tcPr>
            <w:tcW w:w="2197" w:type="dxa"/>
            <w:shd w:val="clear" w:color="auto" w:fill="auto"/>
            <w:vAlign w:val="center"/>
          </w:tcPr>
          <w:p w14:paraId="0A43A03C" w14:textId="23A72C17" w:rsidR="008A3171" w:rsidRPr="008A3171" w:rsidRDefault="008A3171" w:rsidP="008A3171">
            <w:pPr>
              <w:spacing w:line="240" w:lineRule="auto"/>
              <w:ind w:left="34"/>
              <w:jc w:val="center"/>
              <w:rPr>
                <w:rFonts w:eastAsia="Times New Roman" w:cs="Arial"/>
                <w:sz w:val="20"/>
                <w:szCs w:val="20"/>
                <w:lang w:eastAsia="en-AU"/>
              </w:rPr>
            </w:pPr>
            <w:r>
              <w:rPr>
                <w:rFonts w:eastAsia="Times New Roman" w:cs="Arial"/>
                <w:sz w:val="20"/>
                <w:szCs w:val="20"/>
                <w:lang w:eastAsia="en-AU"/>
              </w:rPr>
              <w:t>1</w:t>
            </w:r>
          </w:p>
        </w:tc>
        <w:tc>
          <w:tcPr>
            <w:tcW w:w="2198" w:type="dxa"/>
            <w:shd w:val="clear" w:color="auto" w:fill="auto"/>
            <w:vAlign w:val="center"/>
          </w:tcPr>
          <w:p w14:paraId="5F66E6B3" w14:textId="532EDFA3"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bookmarkEnd w:id="16"/>
    </w:tbl>
    <w:p w14:paraId="7C26E632" w14:textId="77777777" w:rsidR="00FE7166" w:rsidRDefault="00FE7166">
      <w:pPr>
        <w:spacing w:line="240" w:lineRule="auto"/>
        <w:jc w:val="center"/>
      </w:pPr>
    </w:p>
    <w:p w14:paraId="7B5A185A" w14:textId="7A3D6B89" w:rsidR="00FE7166" w:rsidRPr="000B7410" w:rsidRDefault="00FE7166" w:rsidP="00FE7166">
      <w:pPr>
        <w:spacing w:line="240" w:lineRule="auto"/>
        <w:rPr>
          <w:sz w:val="24"/>
          <w:szCs w:val="24"/>
        </w:rPr>
      </w:pPr>
      <w:r w:rsidRPr="000B7410">
        <w:rPr>
          <w:rFonts w:cs="Arial"/>
          <w:b/>
          <w:sz w:val="24"/>
          <w:szCs w:val="24"/>
        </w:rPr>
        <w:t>Community/environment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11"/>
        <w:gridCol w:w="2212"/>
      </w:tblGrid>
      <w:tr w:rsidR="008A3171" w:rsidRPr="00254313" w14:paraId="300E53A4" w14:textId="4EEDE349" w:rsidTr="008A3171">
        <w:tc>
          <w:tcPr>
            <w:tcW w:w="3794" w:type="dxa"/>
            <w:shd w:val="clear" w:color="auto" w:fill="auto"/>
          </w:tcPr>
          <w:p w14:paraId="4A652F34" w14:textId="5F4F24A3" w:rsidR="008A3171" w:rsidRPr="00254313" w:rsidRDefault="008A3171" w:rsidP="00FE7166">
            <w:pPr>
              <w:spacing w:line="240" w:lineRule="auto"/>
              <w:rPr>
                <w:rFonts w:cs="Arial"/>
                <w:b/>
                <w:sz w:val="20"/>
                <w:szCs w:val="20"/>
              </w:rPr>
            </w:pPr>
            <w:r w:rsidRPr="00254313">
              <w:rPr>
                <w:rFonts w:cs="Arial"/>
                <w:b/>
                <w:sz w:val="20"/>
                <w:szCs w:val="20"/>
              </w:rPr>
              <w:t>Organisation</w:t>
            </w:r>
          </w:p>
        </w:tc>
        <w:tc>
          <w:tcPr>
            <w:tcW w:w="2211" w:type="dxa"/>
            <w:shd w:val="clear" w:color="auto" w:fill="auto"/>
            <w:vAlign w:val="center"/>
          </w:tcPr>
          <w:p w14:paraId="26D0B722" w14:textId="09E88E5B" w:rsidR="008A3171" w:rsidRPr="008A3171" w:rsidRDefault="008A3171" w:rsidP="008A3171">
            <w:pPr>
              <w:spacing w:line="240" w:lineRule="auto"/>
              <w:ind w:left="34"/>
              <w:jc w:val="center"/>
              <w:rPr>
                <w:rFonts w:eastAsia="Times New Roman" w:cs="Arial"/>
                <w:b/>
                <w:sz w:val="20"/>
                <w:szCs w:val="20"/>
                <w:lang w:eastAsia="en-AU"/>
              </w:rPr>
            </w:pPr>
            <w:r>
              <w:rPr>
                <w:rFonts w:eastAsia="Times New Roman" w:cs="Arial"/>
                <w:b/>
                <w:sz w:val="20"/>
                <w:szCs w:val="20"/>
                <w:lang w:eastAsia="en-AU"/>
              </w:rPr>
              <w:t>No. invited</w:t>
            </w:r>
          </w:p>
        </w:tc>
        <w:tc>
          <w:tcPr>
            <w:tcW w:w="2212" w:type="dxa"/>
            <w:shd w:val="clear" w:color="auto" w:fill="auto"/>
            <w:vAlign w:val="center"/>
          </w:tcPr>
          <w:p w14:paraId="2D849597" w14:textId="39A9EC16" w:rsidR="008A3171" w:rsidRPr="00254313" w:rsidRDefault="008A3171" w:rsidP="008A3171">
            <w:pPr>
              <w:spacing w:line="240" w:lineRule="auto"/>
              <w:jc w:val="center"/>
              <w:rPr>
                <w:rFonts w:eastAsia="Times New Roman" w:cs="Arial"/>
                <w:b/>
                <w:sz w:val="20"/>
                <w:szCs w:val="20"/>
                <w:lang w:eastAsia="en-AU"/>
              </w:rPr>
            </w:pPr>
            <w:r>
              <w:rPr>
                <w:rFonts w:eastAsia="Times New Roman" w:cs="Arial"/>
                <w:b/>
                <w:sz w:val="20"/>
                <w:szCs w:val="20"/>
                <w:lang w:eastAsia="en-AU"/>
              </w:rPr>
              <w:t>No. attended</w:t>
            </w:r>
          </w:p>
        </w:tc>
      </w:tr>
      <w:tr w:rsidR="008A3171" w:rsidRPr="00254313" w14:paraId="406D0862" w14:textId="4924135C" w:rsidTr="008A3171">
        <w:tc>
          <w:tcPr>
            <w:tcW w:w="3794" w:type="dxa"/>
            <w:shd w:val="clear" w:color="auto" w:fill="auto"/>
          </w:tcPr>
          <w:p w14:paraId="32A1DF7C" w14:textId="4E3C465B" w:rsidR="008A3171" w:rsidRPr="00254313" w:rsidRDefault="008A3171" w:rsidP="004552B1">
            <w:pPr>
              <w:spacing w:line="240" w:lineRule="auto"/>
              <w:rPr>
                <w:rFonts w:cs="Arial"/>
                <w:sz w:val="20"/>
                <w:szCs w:val="20"/>
              </w:rPr>
            </w:pPr>
            <w:r w:rsidRPr="00254313">
              <w:rPr>
                <w:rFonts w:cs="Arial"/>
                <w:sz w:val="20"/>
                <w:szCs w:val="20"/>
              </w:rPr>
              <w:t>World Wildlife Fund WA</w:t>
            </w:r>
          </w:p>
        </w:tc>
        <w:tc>
          <w:tcPr>
            <w:tcW w:w="2211" w:type="dxa"/>
            <w:shd w:val="clear" w:color="auto" w:fill="auto"/>
            <w:vAlign w:val="center"/>
          </w:tcPr>
          <w:p w14:paraId="07075C4F" w14:textId="38EDC71C" w:rsidR="008A3171" w:rsidRPr="00254313" w:rsidRDefault="008A3171" w:rsidP="008A3171">
            <w:pPr>
              <w:spacing w:line="240" w:lineRule="auto"/>
              <w:ind w:left="34"/>
              <w:contextualSpacing/>
              <w:jc w:val="center"/>
              <w:rPr>
                <w:rFonts w:cs="Arial"/>
                <w:sz w:val="20"/>
                <w:szCs w:val="20"/>
              </w:rPr>
            </w:pPr>
            <w:r>
              <w:rPr>
                <w:rFonts w:cs="Arial"/>
                <w:sz w:val="20"/>
                <w:szCs w:val="20"/>
              </w:rPr>
              <w:t>1</w:t>
            </w:r>
          </w:p>
        </w:tc>
        <w:tc>
          <w:tcPr>
            <w:tcW w:w="2212" w:type="dxa"/>
            <w:shd w:val="clear" w:color="auto" w:fill="auto"/>
            <w:vAlign w:val="center"/>
          </w:tcPr>
          <w:p w14:paraId="0DEB4419" w14:textId="588C9DCA" w:rsidR="008A3171" w:rsidRPr="00254313" w:rsidRDefault="008A3171" w:rsidP="008A3171">
            <w:pPr>
              <w:spacing w:line="240" w:lineRule="auto"/>
              <w:contextualSpacing/>
              <w:jc w:val="center"/>
              <w:rPr>
                <w:rFonts w:cs="Arial"/>
                <w:sz w:val="20"/>
                <w:szCs w:val="20"/>
              </w:rPr>
            </w:pPr>
            <w:r>
              <w:rPr>
                <w:rFonts w:cs="Arial"/>
                <w:sz w:val="20"/>
                <w:szCs w:val="20"/>
              </w:rPr>
              <w:t>0</w:t>
            </w:r>
          </w:p>
        </w:tc>
      </w:tr>
      <w:tr w:rsidR="008A3171" w:rsidRPr="00254313" w14:paraId="46161515" w14:textId="1D783409" w:rsidTr="008A3171">
        <w:tc>
          <w:tcPr>
            <w:tcW w:w="3794" w:type="dxa"/>
            <w:shd w:val="clear" w:color="auto" w:fill="auto"/>
          </w:tcPr>
          <w:p w14:paraId="24C1D919" w14:textId="0739F529" w:rsidR="008A3171" w:rsidRPr="00254313" w:rsidRDefault="008A3171" w:rsidP="004552B1">
            <w:pPr>
              <w:spacing w:line="240" w:lineRule="auto"/>
              <w:rPr>
                <w:rFonts w:cs="Arial"/>
                <w:sz w:val="20"/>
                <w:szCs w:val="20"/>
              </w:rPr>
            </w:pPr>
            <w:r w:rsidRPr="00254313">
              <w:rPr>
                <w:rFonts w:cs="Arial"/>
                <w:sz w:val="20"/>
                <w:szCs w:val="20"/>
              </w:rPr>
              <w:t>Kimberley RBA</w:t>
            </w:r>
          </w:p>
        </w:tc>
        <w:tc>
          <w:tcPr>
            <w:tcW w:w="2211" w:type="dxa"/>
            <w:shd w:val="clear" w:color="auto" w:fill="auto"/>
            <w:vAlign w:val="center"/>
          </w:tcPr>
          <w:p w14:paraId="3BB26694" w14:textId="14FC5750" w:rsidR="008A3171" w:rsidRPr="00254313" w:rsidRDefault="008A3171" w:rsidP="008A3171">
            <w:pPr>
              <w:spacing w:line="240" w:lineRule="auto"/>
              <w:ind w:left="34"/>
              <w:contextualSpacing/>
              <w:jc w:val="center"/>
              <w:rPr>
                <w:rFonts w:cs="Arial"/>
                <w:sz w:val="20"/>
                <w:szCs w:val="20"/>
              </w:rPr>
            </w:pPr>
            <w:r>
              <w:rPr>
                <w:rFonts w:cs="Arial"/>
                <w:sz w:val="20"/>
                <w:szCs w:val="20"/>
              </w:rPr>
              <w:t>1</w:t>
            </w:r>
          </w:p>
        </w:tc>
        <w:tc>
          <w:tcPr>
            <w:tcW w:w="2212" w:type="dxa"/>
            <w:shd w:val="clear" w:color="auto" w:fill="auto"/>
            <w:vAlign w:val="center"/>
          </w:tcPr>
          <w:p w14:paraId="691DD11D" w14:textId="258E3F60" w:rsidR="008A3171" w:rsidRPr="00254313" w:rsidRDefault="008A3171" w:rsidP="008A3171">
            <w:pPr>
              <w:spacing w:line="240" w:lineRule="auto"/>
              <w:contextualSpacing/>
              <w:jc w:val="center"/>
              <w:rPr>
                <w:rFonts w:cs="Arial"/>
                <w:sz w:val="20"/>
                <w:szCs w:val="20"/>
              </w:rPr>
            </w:pPr>
            <w:r>
              <w:rPr>
                <w:rFonts w:cs="Arial"/>
                <w:sz w:val="20"/>
                <w:szCs w:val="20"/>
              </w:rPr>
              <w:t>0</w:t>
            </w:r>
          </w:p>
        </w:tc>
      </w:tr>
      <w:tr w:rsidR="008A3171" w:rsidRPr="00254313" w14:paraId="20A3CA89" w14:textId="46CF7937" w:rsidTr="008A3171">
        <w:tc>
          <w:tcPr>
            <w:tcW w:w="3794" w:type="dxa"/>
            <w:shd w:val="clear" w:color="auto" w:fill="auto"/>
          </w:tcPr>
          <w:p w14:paraId="2DA15208" w14:textId="469DA603" w:rsidR="008A3171" w:rsidRPr="00254313" w:rsidRDefault="008A3171" w:rsidP="004552B1">
            <w:pPr>
              <w:spacing w:line="240" w:lineRule="auto"/>
              <w:rPr>
                <w:rFonts w:cs="Arial"/>
                <w:sz w:val="20"/>
                <w:szCs w:val="20"/>
              </w:rPr>
            </w:pPr>
            <w:r w:rsidRPr="00254313">
              <w:rPr>
                <w:rFonts w:cs="Arial"/>
                <w:sz w:val="20"/>
                <w:szCs w:val="20"/>
              </w:rPr>
              <w:t>Carnarvon RBG</w:t>
            </w:r>
          </w:p>
        </w:tc>
        <w:tc>
          <w:tcPr>
            <w:tcW w:w="2211" w:type="dxa"/>
            <w:shd w:val="clear" w:color="auto" w:fill="auto"/>
            <w:vAlign w:val="center"/>
          </w:tcPr>
          <w:p w14:paraId="20D4D95F" w14:textId="2FAE5F3F" w:rsidR="008A3171" w:rsidRPr="00254313" w:rsidRDefault="008A3171" w:rsidP="008A3171">
            <w:pPr>
              <w:spacing w:line="240" w:lineRule="auto"/>
              <w:ind w:left="34"/>
              <w:contextualSpacing/>
              <w:jc w:val="center"/>
              <w:rPr>
                <w:rFonts w:cs="Arial"/>
                <w:sz w:val="20"/>
                <w:szCs w:val="20"/>
              </w:rPr>
            </w:pPr>
            <w:r>
              <w:rPr>
                <w:rFonts w:cs="Arial"/>
                <w:sz w:val="20"/>
                <w:szCs w:val="20"/>
              </w:rPr>
              <w:t>1</w:t>
            </w:r>
          </w:p>
        </w:tc>
        <w:tc>
          <w:tcPr>
            <w:tcW w:w="2212" w:type="dxa"/>
            <w:shd w:val="clear" w:color="auto" w:fill="auto"/>
            <w:vAlign w:val="center"/>
          </w:tcPr>
          <w:p w14:paraId="7BCCF11F" w14:textId="5D221C6A" w:rsidR="008A3171" w:rsidRPr="00254313" w:rsidRDefault="008A3171" w:rsidP="008A3171">
            <w:pPr>
              <w:spacing w:line="240" w:lineRule="auto"/>
              <w:contextualSpacing/>
              <w:jc w:val="center"/>
              <w:rPr>
                <w:rFonts w:cs="Arial"/>
                <w:sz w:val="20"/>
                <w:szCs w:val="20"/>
              </w:rPr>
            </w:pPr>
            <w:r>
              <w:rPr>
                <w:rFonts w:cs="Arial"/>
                <w:sz w:val="20"/>
                <w:szCs w:val="20"/>
              </w:rPr>
              <w:t>0</w:t>
            </w:r>
          </w:p>
        </w:tc>
      </w:tr>
      <w:tr w:rsidR="008A3171" w:rsidRPr="00254313" w14:paraId="727FD069" w14:textId="505BFC3F" w:rsidTr="008A3171">
        <w:tc>
          <w:tcPr>
            <w:tcW w:w="3794" w:type="dxa"/>
            <w:shd w:val="clear" w:color="auto" w:fill="auto"/>
          </w:tcPr>
          <w:p w14:paraId="30AB8E93" w14:textId="3B745FDC" w:rsidR="008A3171" w:rsidRPr="00254313" w:rsidRDefault="008A3171" w:rsidP="004552B1">
            <w:pPr>
              <w:spacing w:line="240" w:lineRule="auto"/>
              <w:rPr>
                <w:rFonts w:cs="Arial"/>
                <w:sz w:val="20"/>
                <w:szCs w:val="20"/>
              </w:rPr>
            </w:pPr>
            <w:r w:rsidRPr="00254313">
              <w:rPr>
                <w:rFonts w:cs="Arial"/>
                <w:sz w:val="20"/>
                <w:szCs w:val="20"/>
              </w:rPr>
              <w:t>Goldfields/</w:t>
            </w:r>
            <w:proofErr w:type="spellStart"/>
            <w:r w:rsidRPr="00254313">
              <w:rPr>
                <w:rFonts w:cs="Arial"/>
                <w:sz w:val="20"/>
                <w:szCs w:val="20"/>
              </w:rPr>
              <w:t>Nullabor</w:t>
            </w:r>
            <w:proofErr w:type="spellEnd"/>
            <w:r w:rsidRPr="00254313">
              <w:rPr>
                <w:rFonts w:cs="Arial"/>
                <w:sz w:val="20"/>
                <w:szCs w:val="20"/>
              </w:rPr>
              <w:t xml:space="preserve"> RBA</w:t>
            </w:r>
          </w:p>
        </w:tc>
        <w:tc>
          <w:tcPr>
            <w:tcW w:w="2211" w:type="dxa"/>
            <w:shd w:val="clear" w:color="auto" w:fill="auto"/>
            <w:vAlign w:val="center"/>
          </w:tcPr>
          <w:p w14:paraId="408968A1" w14:textId="4F88BCCB" w:rsidR="008A3171" w:rsidRPr="00254313" w:rsidRDefault="008A3171" w:rsidP="008A3171">
            <w:pPr>
              <w:spacing w:line="240" w:lineRule="auto"/>
              <w:ind w:left="34"/>
              <w:contextualSpacing/>
              <w:jc w:val="center"/>
              <w:rPr>
                <w:rFonts w:cs="Arial"/>
                <w:sz w:val="20"/>
                <w:szCs w:val="20"/>
              </w:rPr>
            </w:pPr>
            <w:r>
              <w:rPr>
                <w:rFonts w:cs="Arial"/>
                <w:sz w:val="20"/>
                <w:szCs w:val="20"/>
              </w:rPr>
              <w:t>1</w:t>
            </w:r>
          </w:p>
        </w:tc>
        <w:tc>
          <w:tcPr>
            <w:tcW w:w="2212" w:type="dxa"/>
            <w:shd w:val="clear" w:color="auto" w:fill="auto"/>
            <w:vAlign w:val="center"/>
          </w:tcPr>
          <w:p w14:paraId="66115139" w14:textId="00A906D9"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52B490F3" w14:textId="7F64FC18" w:rsidTr="008A3171">
        <w:tc>
          <w:tcPr>
            <w:tcW w:w="3794" w:type="dxa"/>
            <w:shd w:val="clear" w:color="auto" w:fill="auto"/>
          </w:tcPr>
          <w:p w14:paraId="0F58030B" w14:textId="6C7DE59B"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Meekatharra RBA</w:t>
            </w:r>
          </w:p>
        </w:tc>
        <w:tc>
          <w:tcPr>
            <w:tcW w:w="2211" w:type="dxa"/>
            <w:shd w:val="clear" w:color="auto" w:fill="auto"/>
            <w:vAlign w:val="center"/>
          </w:tcPr>
          <w:p w14:paraId="3E7968C1" w14:textId="4BBF8778"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77EBFA31" w14:textId="6F785B5E"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44A33B4E" w14:textId="3646B96C" w:rsidTr="008A3171">
        <w:tc>
          <w:tcPr>
            <w:tcW w:w="3794" w:type="dxa"/>
            <w:shd w:val="clear" w:color="auto" w:fill="auto"/>
          </w:tcPr>
          <w:p w14:paraId="6C2A9849" w14:textId="4526ED1D"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Peel-Harvey BG</w:t>
            </w:r>
          </w:p>
        </w:tc>
        <w:tc>
          <w:tcPr>
            <w:tcW w:w="2211" w:type="dxa"/>
            <w:shd w:val="clear" w:color="auto" w:fill="auto"/>
            <w:vAlign w:val="center"/>
          </w:tcPr>
          <w:p w14:paraId="39211158" w14:textId="0DBCEAA0"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4DE3E864" w14:textId="77560940"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677F5E0B" w14:textId="0BD0DE91" w:rsidTr="008A3171">
        <w:tc>
          <w:tcPr>
            <w:tcW w:w="3794" w:type="dxa"/>
            <w:shd w:val="clear" w:color="auto" w:fill="auto"/>
          </w:tcPr>
          <w:p w14:paraId="0C5F707F" w14:textId="1C47AF81"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Lower South West BG</w:t>
            </w:r>
          </w:p>
        </w:tc>
        <w:tc>
          <w:tcPr>
            <w:tcW w:w="2211" w:type="dxa"/>
            <w:shd w:val="clear" w:color="auto" w:fill="auto"/>
            <w:vAlign w:val="center"/>
          </w:tcPr>
          <w:p w14:paraId="446B67F1" w14:textId="2381C269"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487CE7C2" w14:textId="3AADDB67"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69C48D5C" w14:textId="58CD2114" w:rsidTr="008A3171">
        <w:tc>
          <w:tcPr>
            <w:tcW w:w="3794" w:type="dxa"/>
            <w:shd w:val="clear" w:color="auto" w:fill="auto"/>
          </w:tcPr>
          <w:p w14:paraId="2C6B49E0" w14:textId="77777777"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Bridgetown-Greenbushes BG</w:t>
            </w:r>
          </w:p>
        </w:tc>
        <w:tc>
          <w:tcPr>
            <w:tcW w:w="2211" w:type="dxa"/>
            <w:shd w:val="clear" w:color="auto" w:fill="auto"/>
            <w:vAlign w:val="center"/>
          </w:tcPr>
          <w:p w14:paraId="2AFDE846" w14:textId="440BF828"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2A3F8515" w14:textId="3AC6E1B3"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71125F7C" w14:textId="51135059" w:rsidTr="008A3171">
        <w:tc>
          <w:tcPr>
            <w:tcW w:w="3794" w:type="dxa"/>
            <w:shd w:val="clear" w:color="auto" w:fill="auto"/>
          </w:tcPr>
          <w:p w14:paraId="346FEAA6" w14:textId="77777777" w:rsidR="008A3171" w:rsidRPr="00254313" w:rsidRDefault="008A3171" w:rsidP="004552B1">
            <w:pPr>
              <w:spacing w:line="240" w:lineRule="auto"/>
              <w:rPr>
                <w:rFonts w:eastAsia="Times New Roman" w:cs="Arial"/>
                <w:sz w:val="20"/>
                <w:szCs w:val="20"/>
                <w:lang w:eastAsia="en-AU"/>
              </w:rPr>
            </w:pPr>
            <w:proofErr w:type="spellStart"/>
            <w:r w:rsidRPr="00254313">
              <w:rPr>
                <w:rFonts w:eastAsia="Times New Roman" w:cs="Arial"/>
                <w:sz w:val="20"/>
                <w:szCs w:val="20"/>
                <w:lang w:eastAsia="en-AU"/>
              </w:rPr>
              <w:t>Leschenault</w:t>
            </w:r>
            <w:proofErr w:type="spellEnd"/>
            <w:r w:rsidRPr="00254313">
              <w:rPr>
                <w:rFonts w:eastAsia="Times New Roman" w:cs="Arial"/>
                <w:sz w:val="20"/>
                <w:szCs w:val="20"/>
                <w:lang w:eastAsia="en-AU"/>
              </w:rPr>
              <w:t xml:space="preserve"> BG</w:t>
            </w:r>
          </w:p>
        </w:tc>
        <w:tc>
          <w:tcPr>
            <w:tcW w:w="2211" w:type="dxa"/>
            <w:shd w:val="clear" w:color="auto" w:fill="auto"/>
            <w:vAlign w:val="center"/>
          </w:tcPr>
          <w:p w14:paraId="4489AF2E" w14:textId="1A3BF159"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508D892C" w14:textId="7ACD5D5A"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50151872" w14:textId="4738A324" w:rsidTr="008A3171">
        <w:tc>
          <w:tcPr>
            <w:tcW w:w="3794" w:type="dxa"/>
            <w:shd w:val="clear" w:color="auto" w:fill="auto"/>
          </w:tcPr>
          <w:p w14:paraId="68E607D6" w14:textId="77777777"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Northern Mallee DSG</w:t>
            </w:r>
          </w:p>
        </w:tc>
        <w:tc>
          <w:tcPr>
            <w:tcW w:w="2211" w:type="dxa"/>
            <w:shd w:val="clear" w:color="auto" w:fill="auto"/>
            <w:vAlign w:val="center"/>
          </w:tcPr>
          <w:p w14:paraId="13E84112" w14:textId="08A69C82"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5478BBAA" w14:textId="338330EB" w:rsidR="008A3171" w:rsidRPr="00254313" w:rsidRDefault="008A3171" w:rsidP="008A3171">
            <w:pPr>
              <w:spacing w:line="240" w:lineRule="auto"/>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2C7F04AC" w14:textId="699CB6AE" w:rsidTr="008A3171">
        <w:tc>
          <w:tcPr>
            <w:tcW w:w="3794" w:type="dxa"/>
            <w:shd w:val="clear" w:color="auto" w:fill="auto"/>
          </w:tcPr>
          <w:p w14:paraId="54579D23" w14:textId="77777777" w:rsidR="008A3171" w:rsidRPr="00254313" w:rsidRDefault="008A3171" w:rsidP="004552B1">
            <w:pPr>
              <w:spacing w:line="240" w:lineRule="auto"/>
              <w:rPr>
                <w:rFonts w:eastAsia="Times New Roman" w:cs="Arial"/>
                <w:sz w:val="20"/>
                <w:szCs w:val="20"/>
                <w:lang w:eastAsia="en-AU"/>
              </w:rPr>
            </w:pPr>
            <w:r w:rsidRPr="00254313">
              <w:rPr>
                <w:rFonts w:cs="Arial"/>
                <w:sz w:val="20"/>
                <w:szCs w:val="20"/>
              </w:rPr>
              <w:t>Eastern Wheatbelt RBG</w:t>
            </w:r>
          </w:p>
        </w:tc>
        <w:tc>
          <w:tcPr>
            <w:tcW w:w="2211" w:type="dxa"/>
            <w:shd w:val="clear" w:color="auto" w:fill="auto"/>
            <w:vAlign w:val="center"/>
          </w:tcPr>
          <w:p w14:paraId="40342BBF" w14:textId="7ACECB0A" w:rsidR="008A3171" w:rsidRPr="00254313" w:rsidRDefault="008A3171" w:rsidP="008A3171">
            <w:pPr>
              <w:spacing w:line="240" w:lineRule="auto"/>
              <w:ind w:left="34"/>
              <w:contextualSpacing/>
              <w:jc w:val="center"/>
              <w:rPr>
                <w:rFonts w:cs="Arial"/>
                <w:sz w:val="20"/>
                <w:szCs w:val="20"/>
              </w:rPr>
            </w:pPr>
            <w:r>
              <w:rPr>
                <w:rFonts w:cs="Arial"/>
                <w:sz w:val="20"/>
                <w:szCs w:val="20"/>
              </w:rPr>
              <w:t>1</w:t>
            </w:r>
          </w:p>
        </w:tc>
        <w:tc>
          <w:tcPr>
            <w:tcW w:w="2212" w:type="dxa"/>
            <w:shd w:val="clear" w:color="auto" w:fill="auto"/>
            <w:vAlign w:val="center"/>
          </w:tcPr>
          <w:p w14:paraId="77F56C3D" w14:textId="4AF87E83" w:rsidR="008A3171" w:rsidRPr="00254313" w:rsidRDefault="008A3171" w:rsidP="008A3171">
            <w:pPr>
              <w:spacing w:line="240" w:lineRule="auto"/>
              <w:contextualSpacing/>
              <w:jc w:val="center"/>
              <w:rPr>
                <w:rFonts w:cs="Arial"/>
                <w:sz w:val="20"/>
                <w:szCs w:val="20"/>
              </w:rPr>
            </w:pPr>
            <w:r>
              <w:rPr>
                <w:rFonts w:cs="Arial"/>
                <w:sz w:val="20"/>
                <w:szCs w:val="20"/>
              </w:rPr>
              <w:t>1</w:t>
            </w:r>
          </w:p>
        </w:tc>
      </w:tr>
      <w:tr w:rsidR="008A3171" w:rsidRPr="00254313" w14:paraId="52963FCF" w14:textId="55032933" w:rsidTr="008A3171">
        <w:tc>
          <w:tcPr>
            <w:tcW w:w="3794" w:type="dxa"/>
            <w:shd w:val="clear" w:color="auto" w:fill="auto"/>
          </w:tcPr>
          <w:p w14:paraId="1FE2FC80" w14:textId="77777777"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Ravensthorpe DSG</w:t>
            </w:r>
          </w:p>
        </w:tc>
        <w:tc>
          <w:tcPr>
            <w:tcW w:w="2211" w:type="dxa"/>
            <w:shd w:val="clear" w:color="auto" w:fill="auto"/>
            <w:vAlign w:val="center"/>
          </w:tcPr>
          <w:p w14:paraId="61FD6EF3" w14:textId="6A503817"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096BF4D7" w14:textId="1EA1D35F" w:rsidR="008A3171" w:rsidRPr="00254313" w:rsidRDefault="008A3171" w:rsidP="008A3171">
            <w:pPr>
              <w:spacing w:line="240" w:lineRule="auto"/>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3E197E0C" w14:textId="1A436D1E" w:rsidTr="008A3171">
        <w:tc>
          <w:tcPr>
            <w:tcW w:w="3794" w:type="dxa"/>
            <w:shd w:val="clear" w:color="auto" w:fill="auto"/>
          </w:tcPr>
          <w:p w14:paraId="1DB71EF5" w14:textId="730573EA"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Central Wheatbelt DSG</w:t>
            </w:r>
          </w:p>
        </w:tc>
        <w:tc>
          <w:tcPr>
            <w:tcW w:w="2211" w:type="dxa"/>
            <w:shd w:val="clear" w:color="auto" w:fill="auto"/>
            <w:vAlign w:val="center"/>
          </w:tcPr>
          <w:p w14:paraId="152B6DA1" w14:textId="2284B521"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627A3720" w14:textId="1DB9FA36"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35BD3081" w14:textId="6551707E" w:rsidTr="008A3171">
        <w:tc>
          <w:tcPr>
            <w:tcW w:w="3794" w:type="dxa"/>
            <w:shd w:val="clear" w:color="auto" w:fill="auto"/>
          </w:tcPr>
          <w:p w14:paraId="37273A3C" w14:textId="78E7D7E6" w:rsidR="008A3171" w:rsidRPr="00254313" w:rsidRDefault="008A3171" w:rsidP="00552018">
            <w:pPr>
              <w:spacing w:line="240" w:lineRule="auto"/>
              <w:rPr>
                <w:rFonts w:eastAsia="Times New Roman" w:cs="Arial"/>
                <w:sz w:val="20"/>
                <w:szCs w:val="20"/>
                <w:lang w:eastAsia="en-AU"/>
              </w:rPr>
            </w:pPr>
            <w:r w:rsidRPr="00254313">
              <w:rPr>
                <w:rFonts w:eastAsia="Times New Roman" w:cs="Arial"/>
                <w:sz w:val="20"/>
                <w:szCs w:val="20"/>
                <w:lang w:eastAsia="en-AU"/>
              </w:rPr>
              <w:t>Pilbara Regional BG</w:t>
            </w:r>
          </w:p>
        </w:tc>
        <w:tc>
          <w:tcPr>
            <w:tcW w:w="2211" w:type="dxa"/>
            <w:shd w:val="clear" w:color="auto" w:fill="auto"/>
            <w:vAlign w:val="center"/>
          </w:tcPr>
          <w:p w14:paraId="76F1CFC8" w14:textId="5825869B"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2DF39203" w14:textId="02C0AA5C"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r w:rsidR="008A3171" w:rsidRPr="00254313" w14:paraId="19E59D99" w14:textId="32A66CD0" w:rsidTr="008A3171">
        <w:tc>
          <w:tcPr>
            <w:tcW w:w="3794" w:type="dxa"/>
            <w:shd w:val="clear" w:color="auto" w:fill="auto"/>
          </w:tcPr>
          <w:p w14:paraId="691AD8BD" w14:textId="4232A312"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NRM Leaders</w:t>
            </w:r>
          </w:p>
        </w:tc>
        <w:tc>
          <w:tcPr>
            <w:tcW w:w="2211" w:type="dxa"/>
            <w:shd w:val="clear" w:color="auto" w:fill="auto"/>
            <w:vAlign w:val="center"/>
          </w:tcPr>
          <w:p w14:paraId="45F9C41E" w14:textId="32A9DD6C"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2A6088F5" w14:textId="413697F6"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1</w:t>
            </w:r>
          </w:p>
        </w:tc>
      </w:tr>
      <w:tr w:rsidR="008A3171" w:rsidRPr="00254313" w14:paraId="6E455B30" w14:textId="20ECAE42" w:rsidTr="008A3171">
        <w:tc>
          <w:tcPr>
            <w:tcW w:w="3794" w:type="dxa"/>
            <w:shd w:val="clear" w:color="auto" w:fill="auto"/>
          </w:tcPr>
          <w:p w14:paraId="0ABD8C0D" w14:textId="23ECCBFD" w:rsidR="008A3171" w:rsidRPr="00254313" w:rsidRDefault="008A3171" w:rsidP="004552B1">
            <w:pPr>
              <w:spacing w:line="240" w:lineRule="auto"/>
              <w:rPr>
                <w:rFonts w:eastAsia="Times New Roman" w:cs="Arial"/>
                <w:sz w:val="20"/>
                <w:szCs w:val="20"/>
                <w:lang w:eastAsia="en-AU"/>
              </w:rPr>
            </w:pPr>
            <w:r w:rsidRPr="00254313">
              <w:rPr>
                <w:rFonts w:eastAsia="Times New Roman" w:cs="Arial"/>
                <w:sz w:val="20"/>
                <w:szCs w:val="20"/>
                <w:lang w:eastAsia="en-AU"/>
              </w:rPr>
              <w:t>South Coast NRM</w:t>
            </w:r>
          </w:p>
        </w:tc>
        <w:tc>
          <w:tcPr>
            <w:tcW w:w="2211" w:type="dxa"/>
            <w:shd w:val="clear" w:color="auto" w:fill="auto"/>
            <w:vAlign w:val="center"/>
          </w:tcPr>
          <w:p w14:paraId="24B27BD5" w14:textId="39A04E67" w:rsidR="008A3171" w:rsidRPr="00254313" w:rsidRDefault="008A3171" w:rsidP="008A3171">
            <w:pPr>
              <w:spacing w:line="240" w:lineRule="auto"/>
              <w:ind w:left="34"/>
              <w:contextualSpacing/>
              <w:jc w:val="center"/>
              <w:rPr>
                <w:rFonts w:eastAsia="Times New Roman" w:cs="Arial"/>
                <w:sz w:val="20"/>
                <w:szCs w:val="20"/>
                <w:lang w:eastAsia="en-AU"/>
              </w:rPr>
            </w:pPr>
            <w:r>
              <w:rPr>
                <w:rFonts w:eastAsia="Times New Roman" w:cs="Arial"/>
                <w:sz w:val="20"/>
                <w:szCs w:val="20"/>
                <w:lang w:eastAsia="en-AU"/>
              </w:rPr>
              <w:t>1</w:t>
            </w:r>
          </w:p>
        </w:tc>
        <w:tc>
          <w:tcPr>
            <w:tcW w:w="2212" w:type="dxa"/>
            <w:shd w:val="clear" w:color="auto" w:fill="auto"/>
            <w:vAlign w:val="center"/>
          </w:tcPr>
          <w:p w14:paraId="6CC31EB6" w14:textId="667097E6" w:rsidR="008A3171" w:rsidRPr="00254313" w:rsidRDefault="008A3171" w:rsidP="008A3171">
            <w:pPr>
              <w:spacing w:line="240" w:lineRule="auto"/>
              <w:contextualSpacing/>
              <w:jc w:val="center"/>
              <w:rPr>
                <w:rFonts w:eastAsia="Times New Roman" w:cs="Arial"/>
                <w:sz w:val="20"/>
                <w:szCs w:val="20"/>
                <w:lang w:eastAsia="en-AU"/>
              </w:rPr>
            </w:pPr>
            <w:r>
              <w:rPr>
                <w:rFonts w:eastAsia="Times New Roman" w:cs="Arial"/>
                <w:sz w:val="20"/>
                <w:szCs w:val="20"/>
                <w:lang w:eastAsia="en-AU"/>
              </w:rPr>
              <w:t>0</w:t>
            </w:r>
          </w:p>
        </w:tc>
      </w:tr>
    </w:tbl>
    <w:p w14:paraId="33C72BA7" w14:textId="77777777" w:rsidR="00552018" w:rsidRDefault="00552018">
      <w:pPr>
        <w:spacing w:line="240" w:lineRule="auto"/>
        <w:jc w:val="center"/>
      </w:pPr>
    </w:p>
    <w:p w14:paraId="7AE284F9" w14:textId="40A590C5" w:rsidR="00552018" w:rsidRPr="000B7410" w:rsidRDefault="00552018" w:rsidP="00552018">
      <w:pPr>
        <w:rPr>
          <w:sz w:val="24"/>
          <w:szCs w:val="24"/>
        </w:rPr>
      </w:pPr>
      <w:r w:rsidRPr="000B7410">
        <w:rPr>
          <w:rFonts w:cs="Arial"/>
          <w:b/>
          <w:sz w:val="24"/>
          <w:szCs w:val="24"/>
        </w:rPr>
        <w:lastRenderedPageBreak/>
        <w:t>Others</w:t>
      </w:r>
    </w:p>
    <w:tbl>
      <w:tblPr>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2127"/>
      </w:tblGrid>
      <w:tr w:rsidR="00552018" w:rsidRPr="00254313" w14:paraId="4B80DCBB" w14:textId="77777777" w:rsidTr="008A3171">
        <w:tc>
          <w:tcPr>
            <w:tcW w:w="2892" w:type="dxa"/>
            <w:shd w:val="clear" w:color="auto" w:fill="auto"/>
          </w:tcPr>
          <w:p w14:paraId="5F144675" w14:textId="18A03DDA" w:rsidR="00552018" w:rsidRPr="00254313" w:rsidRDefault="00552018" w:rsidP="004552B1">
            <w:pPr>
              <w:spacing w:line="240" w:lineRule="auto"/>
              <w:rPr>
                <w:rFonts w:cs="Arial"/>
                <w:b/>
                <w:sz w:val="20"/>
                <w:szCs w:val="20"/>
              </w:rPr>
            </w:pPr>
          </w:p>
        </w:tc>
        <w:tc>
          <w:tcPr>
            <w:tcW w:w="2127" w:type="dxa"/>
            <w:shd w:val="clear" w:color="auto" w:fill="auto"/>
          </w:tcPr>
          <w:p w14:paraId="27DFD60A" w14:textId="251EADEA" w:rsidR="00552018" w:rsidRPr="008A3171" w:rsidRDefault="008A3171" w:rsidP="008A3171">
            <w:pPr>
              <w:spacing w:line="240" w:lineRule="auto"/>
              <w:ind w:left="34"/>
              <w:contextualSpacing/>
              <w:rPr>
                <w:rFonts w:eastAsia="Times New Roman" w:cs="Arial"/>
                <w:b/>
                <w:sz w:val="20"/>
                <w:szCs w:val="20"/>
                <w:lang w:eastAsia="en-AU"/>
              </w:rPr>
            </w:pPr>
            <w:r>
              <w:rPr>
                <w:rFonts w:eastAsia="Times New Roman" w:cs="Arial"/>
                <w:b/>
                <w:sz w:val="20"/>
                <w:szCs w:val="20"/>
                <w:lang w:eastAsia="en-AU"/>
              </w:rPr>
              <w:t>No. of p</w:t>
            </w:r>
            <w:r w:rsidR="00552018" w:rsidRPr="008A3171">
              <w:rPr>
                <w:rFonts w:eastAsia="Times New Roman" w:cs="Arial"/>
                <w:b/>
                <w:sz w:val="20"/>
                <w:szCs w:val="20"/>
                <w:lang w:eastAsia="en-AU"/>
              </w:rPr>
              <w:t>articipant</w:t>
            </w:r>
            <w:r>
              <w:rPr>
                <w:rFonts w:eastAsia="Times New Roman" w:cs="Arial"/>
                <w:b/>
                <w:sz w:val="20"/>
                <w:szCs w:val="20"/>
                <w:lang w:eastAsia="en-AU"/>
              </w:rPr>
              <w:t>s</w:t>
            </w:r>
          </w:p>
        </w:tc>
      </w:tr>
      <w:tr w:rsidR="00552018" w:rsidRPr="00254313" w14:paraId="0B316F4F" w14:textId="77777777" w:rsidTr="008A3171">
        <w:tc>
          <w:tcPr>
            <w:tcW w:w="2892" w:type="dxa"/>
            <w:shd w:val="clear" w:color="auto" w:fill="auto"/>
          </w:tcPr>
          <w:p w14:paraId="29A0BE96" w14:textId="0B284207" w:rsidR="00552018" w:rsidRPr="00254313" w:rsidRDefault="00552018" w:rsidP="004552B1">
            <w:pPr>
              <w:spacing w:line="240" w:lineRule="auto"/>
              <w:rPr>
                <w:rFonts w:cs="Arial"/>
                <w:sz w:val="20"/>
                <w:szCs w:val="20"/>
              </w:rPr>
            </w:pPr>
            <w:r w:rsidRPr="00254313">
              <w:rPr>
                <w:rFonts w:cs="Arial"/>
                <w:sz w:val="20"/>
                <w:szCs w:val="20"/>
              </w:rPr>
              <w:t>Biosecurity Council of WA</w:t>
            </w:r>
          </w:p>
        </w:tc>
        <w:tc>
          <w:tcPr>
            <w:tcW w:w="2127" w:type="dxa"/>
            <w:shd w:val="clear" w:color="auto" w:fill="auto"/>
          </w:tcPr>
          <w:p w14:paraId="613C1C41" w14:textId="5DEEEF02" w:rsidR="00552018" w:rsidRPr="008A3171" w:rsidRDefault="008A3171" w:rsidP="008A3171">
            <w:pPr>
              <w:spacing w:line="240" w:lineRule="auto"/>
              <w:ind w:left="34"/>
              <w:contextualSpacing/>
              <w:rPr>
                <w:rFonts w:eastAsia="Times New Roman" w:cs="Arial"/>
                <w:sz w:val="20"/>
                <w:szCs w:val="20"/>
                <w:lang w:eastAsia="en-AU"/>
              </w:rPr>
            </w:pPr>
            <w:r w:rsidRPr="008A3171">
              <w:rPr>
                <w:rFonts w:eastAsia="Times New Roman" w:cs="Arial"/>
                <w:sz w:val="20"/>
                <w:szCs w:val="20"/>
                <w:lang w:eastAsia="en-AU"/>
              </w:rPr>
              <w:t>7</w:t>
            </w:r>
          </w:p>
        </w:tc>
      </w:tr>
      <w:tr w:rsidR="00552018" w:rsidRPr="00254313" w14:paraId="38584A44" w14:textId="77777777" w:rsidTr="008A3171">
        <w:tc>
          <w:tcPr>
            <w:tcW w:w="2892" w:type="dxa"/>
            <w:shd w:val="clear" w:color="auto" w:fill="auto"/>
          </w:tcPr>
          <w:p w14:paraId="0287D2B0" w14:textId="42B70344" w:rsidR="00552018" w:rsidRPr="00254313" w:rsidRDefault="00552018" w:rsidP="004552B1">
            <w:pPr>
              <w:spacing w:line="240" w:lineRule="auto"/>
              <w:rPr>
                <w:rFonts w:cs="Arial"/>
                <w:sz w:val="20"/>
                <w:szCs w:val="20"/>
              </w:rPr>
            </w:pPr>
            <w:r w:rsidRPr="00254313">
              <w:rPr>
                <w:rFonts w:cs="Arial"/>
                <w:sz w:val="20"/>
                <w:szCs w:val="20"/>
              </w:rPr>
              <w:t>Presenters</w:t>
            </w:r>
          </w:p>
        </w:tc>
        <w:tc>
          <w:tcPr>
            <w:tcW w:w="2127" w:type="dxa"/>
            <w:shd w:val="clear" w:color="auto" w:fill="auto"/>
          </w:tcPr>
          <w:p w14:paraId="37DC8584" w14:textId="6C2CE4AF" w:rsidR="00552018" w:rsidRPr="008A3171" w:rsidRDefault="008A3171" w:rsidP="008A3171">
            <w:pPr>
              <w:spacing w:line="240" w:lineRule="auto"/>
              <w:ind w:left="34"/>
              <w:contextualSpacing/>
              <w:rPr>
                <w:rFonts w:eastAsia="Times New Roman" w:cs="Arial"/>
                <w:sz w:val="20"/>
                <w:szCs w:val="20"/>
                <w:lang w:eastAsia="en-AU"/>
              </w:rPr>
            </w:pPr>
            <w:r w:rsidRPr="008A3171">
              <w:rPr>
                <w:rFonts w:eastAsia="Times New Roman" w:cs="Arial"/>
                <w:sz w:val="20"/>
                <w:szCs w:val="20"/>
                <w:lang w:eastAsia="en-AU"/>
              </w:rPr>
              <w:t>2</w:t>
            </w:r>
          </w:p>
        </w:tc>
      </w:tr>
      <w:tr w:rsidR="00552018" w:rsidRPr="00254313" w14:paraId="4B8380CA" w14:textId="77777777" w:rsidTr="008A3171">
        <w:tc>
          <w:tcPr>
            <w:tcW w:w="2892" w:type="dxa"/>
            <w:tcBorders>
              <w:top w:val="single" w:sz="4" w:space="0" w:color="auto"/>
              <w:left w:val="single" w:sz="4" w:space="0" w:color="auto"/>
              <w:bottom w:val="single" w:sz="4" w:space="0" w:color="auto"/>
              <w:right w:val="single" w:sz="4" w:space="0" w:color="auto"/>
            </w:tcBorders>
            <w:shd w:val="clear" w:color="auto" w:fill="auto"/>
          </w:tcPr>
          <w:p w14:paraId="2E25EA25" w14:textId="4208D12C" w:rsidR="00552018" w:rsidRPr="00254313" w:rsidRDefault="00552018" w:rsidP="004552B1">
            <w:pPr>
              <w:spacing w:line="240" w:lineRule="auto"/>
              <w:rPr>
                <w:rFonts w:cs="Arial"/>
                <w:sz w:val="20"/>
                <w:szCs w:val="20"/>
              </w:rPr>
            </w:pPr>
            <w:r w:rsidRPr="00254313">
              <w:rPr>
                <w:rFonts w:cs="Arial"/>
                <w:sz w:val="20"/>
                <w:szCs w:val="20"/>
              </w:rPr>
              <w:t>Facilitator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BE6BE6" w14:textId="114DFE0B" w:rsidR="00552018" w:rsidRPr="008A3171" w:rsidRDefault="008A3171" w:rsidP="008A3171">
            <w:pPr>
              <w:spacing w:line="240" w:lineRule="auto"/>
              <w:ind w:left="34"/>
              <w:contextualSpacing/>
              <w:rPr>
                <w:rFonts w:eastAsia="Times New Roman" w:cs="Arial"/>
                <w:sz w:val="20"/>
                <w:szCs w:val="20"/>
                <w:lang w:eastAsia="en-AU"/>
              </w:rPr>
            </w:pPr>
            <w:r w:rsidRPr="008A3171">
              <w:rPr>
                <w:rFonts w:eastAsia="Times New Roman" w:cs="Arial"/>
                <w:sz w:val="20"/>
                <w:szCs w:val="20"/>
                <w:lang w:eastAsia="en-AU"/>
              </w:rPr>
              <w:t>1</w:t>
            </w:r>
          </w:p>
        </w:tc>
      </w:tr>
      <w:tr w:rsidR="00552018" w:rsidRPr="00254313" w14:paraId="7216234C" w14:textId="77777777" w:rsidTr="008A3171">
        <w:tc>
          <w:tcPr>
            <w:tcW w:w="2892" w:type="dxa"/>
            <w:shd w:val="clear" w:color="auto" w:fill="auto"/>
          </w:tcPr>
          <w:p w14:paraId="0EF0A7C4" w14:textId="71C6CA4B" w:rsidR="00552018" w:rsidRPr="00254313" w:rsidRDefault="00552018" w:rsidP="004552B1">
            <w:pPr>
              <w:spacing w:line="240" w:lineRule="auto"/>
              <w:rPr>
                <w:rFonts w:cs="Arial"/>
                <w:sz w:val="20"/>
                <w:szCs w:val="20"/>
              </w:rPr>
            </w:pPr>
            <w:r w:rsidRPr="00254313">
              <w:rPr>
                <w:rFonts w:cs="Arial"/>
                <w:sz w:val="20"/>
                <w:szCs w:val="20"/>
              </w:rPr>
              <w:t>Table facilitators</w:t>
            </w:r>
          </w:p>
        </w:tc>
        <w:tc>
          <w:tcPr>
            <w:tcW w:w="2127" w:type="dxa"/>
            <w:shd w:val="clear" w:color="auto" w:fill="auto"/>
          </w:tcPr>
          <w:p w14:paraId="4160D0A3" w14:textId="7817B832" w:rsidR="00552018" w:rsidRPr="008A3171" w:rsidRDefault="008A3171" w:rsidP="008A3171">
            <w:pPr>
              <w:spacing w:line="240" w:lineRule="auto"/>
              <w:ind w:left="34"/>
              <w:contextualSpacing/>
              <w:rPr>
                <w:rFonts w:eastAsia="Times New Roman" w:cs="Arial"/>
                <w:sz w:val="20"/>
                <w:szCs w:val="20"/>
                <w:lang w:eastAsia="en-AU"/>
              </w:rPr>
            </w:pPr>
            <w:r w:rsidRPr="008A3171">
              <w:rPr>
                <w:rFonts w:eastAsia="Times New Roman" w:cs="Arial"/>
                <w:sz w:val="20"/>
                <w:szCs w:val="20"/>
                <w:lang w:eastAsia="en-AU"/>
              </w:rPr>
              <w:t>5</w:t>
            </w:r>
          </w:p>
        </w:tc>
      </w:tr>
      <w:tr w:rsidR="00552018" w:rsidRPr="00254313" w14:paraId="1E9C6E88" w14:textId="77777777" w:rsidTr="008A3171">
        <w:tc>
          <w:tcPr>
            <w:tcW w:w="2892" w:type="dxa"/>
            <w:shd w:val="clear" w:color="auto" w:fill="auto"/>
          </w:tcPr>
          <w:p w14:paraId="5655042F" w14:textId="25E3B88E" w:rsidR="00552018" w:rsidRPr="00254313" w:rsidRDefault="00552018" w:rsidP="004552B1">
            <w:pPr>
              <w:spacing w:line="240" w:lineRule="auto"/>
              <w:rPr>
                <w:rFonts w:eastAsia="Times New Roman" w:cs="Arial"/>
                <w:sz w:val="20"/>
                <w:szCs w:val="20"/>
                <w:lang w:eastAsia="en-AU"/>
              </w:rPr>
            </w:pPr>
            <w:r w:rsidRPr="00254313">
              <w:rPr>
                <w:rFonts w:cs="Arial"/>
                <w:sz w:val="20"/>
                <w:szCs w:val="20"/>
              </w:rPr>
              <w:t>Scenario developers</w:t>
            </w:r>
          </w:p>
        </w:tc>
        <w:tc>
          <w:tcPr>
            <w:tcW w:w="2127" w:type="dxa"/>
            <w:shd w:val="clear" w:color="auto" w:fill="auto"/>
          </w:tcPr>
          <w:p w14:paraId="66790E51" w14:textId="41024BF4" w:rsidR="00552018" w:rsidRPr="008A3171" w:rsidRDefault="008A3171" w:rsidP="008A3171">
            <w:pPr>
              <w:spacing w:line="240" w:lineRule="auto"/>
              <w:ind w:left="34"/>
              <w:contextualSpacing/>
              <w:rPr>
                <w:rFonts w:eastAsia="Times New Roman" w:cs="Arial"/>
                <w:sz w:val="20"/>
                <w:szCs w:val="20"/>
                <w:lang w:eastAsia="en-AU"/>
              </w:rPr>
            </w:pPr>
            <w:r w:rsidRPr="008A3171">
              <w:rPr>
                <w:rFonts w:eastAsia="Times New Roman" w:cs="Arial"/>
                <w:sz w:val="20"/>
                <w:szCs w:val="20"/>
                <w:lang w:eastAsia="en-AU"/>
              </w:rPr>
              <w:t>5</w:t>
            </w:r>
          </w:p>
        </w:tc>
      </w:tr>
    </w:tbl>
    <w:p w14:paraId="674C316B" w14:textId="77777777" w:rsidR="0019483F" w:rsidRDefault="0019483F">
      <w:pPr>
        <w:spacing w:line="240" w:lineRule="auto"/>
        <w:jc w:val="center"/>
        <w:rPr>
          <w:rFonts w:eastAsiaTheme="majorEastAsia" w:cstheme="majorBidi"/>
          <w:b/>
          <w:bCs/>
          <w:sz w:val="26"/>
          <w:szCs w:val="26"/>
        </w:rPr>
      </w:pPr>
      <w:r>
        <w:br w:type="page"/>
      </w:r>
    </w:p>
    <w:p w14:paraId="4FE2EF47" w14:textId="444213C8" w:rsidR="0019483F" w:rsidRDefault="0019483F" w:rsidP="000B7410">
      <w:pPr>
        <w:pStyle w:val="Heading1"/>
        <w:numPr>
          <w:ilvl w:val="0"/>
          <w:numId w:val="0"/>
        </w:numPr>
      </w:pPr>
      <w:bookmarkStart w:id="17" w:name="_Toc433204417"/>
      <w:proofErr w:type="gramStart"/>
      <w:r w:rsidRPr="00820164">
        <w:lastRenderedPageBreak/>
        <w:t xml:space="preserve">Appendix </w:t>
      </w:r>
      <w:r>
        <w:t>2</w:t>
      </w:r>
      <w:r w:rsidRPr="00820164">
        <w:t>.</w:t>
      </w:r>
      <w:proofErr w:type="gramEnd"/>
      <w:r w:rsidRPr="00820164">
        <w:t xml:space="preserve">  </w:t>
      </w:r>
      <w:r>
        <w:t>Workshop agenda</w:t>
      </w:r>
      <w:bookmarkEnd w:id="17"/>
    </w:p>
    <w:p w14:paraId="59C6261F" w14:textId="77777777" w:rsidR="00BC4C2D" w:rsidRPr="000B7410" w:rsidRDefault="00BC4C2D" w:rsidP="00BC4C2D">
      <w:pPr>
        <w:pStyle w:val="Heading3"/>
        <w:numPr>
          <w:ilvl w:val="0"/>
          <w:numId w:val="0"/>
        </w:numPr>
        <w:rPr>
          <w:sz w:val="24"/>
          <w:szCs w:val="24"/>
        </w:rPr>
      </w:pPr>
      <w:bookmarkStart w:id="18" w:name="_Toc433204418"/>
      <w:r w:rsidRPr="000B7410">
        <w:rPr>
          <w:sz w:val="24"/>
          <w:szCs w:val="24"/>
        </w:rPr>
        <w:t>Introduction to the generalised invasion curve</w:t>
      </w:r>
      <w:bookmarkEnd w:id="18"/>
    </w:p>
    <w:p w14:paraId="21B1533F" w14:textId="77777777" w:rsidR="00BC4C2D" w:rsidRPr="000B7410" w:rsidRDefault="00BC4C2D" w:rsidP="00BC4C2D">
      <w:pPr>
        <w:rPr>
          <w:i/>
          <w:sz w:val="24"/>
          <w:szCs w:val="24"/>
        </w:rPr>
      </w:pPr>
      <w:r w:rsidRPr="000B7410">
        <w:rPr>
          <w:i/>
          <w:sz w:val="24"/>
          <w:szCs w:val="24"/>
        </w:rPr>
        <w:t>Anticipated outcome: Participants have contributed to a shared understanding of how the ‘generalised invasion curve’ guides decision-making.</w:t>
      </w:r>
    </w:p>
    <w:p w14:paraId="2AD36584" w14:textId="46D2D638" w:rsidR="00BC4C2D" w:rsidRPr="000B7410" w:rsidRDefault="00BC4C2D" w:rsidP="00BC4C2D">
      <w:pPr>
        <w:spacing w:before="120"/>
        <w:rPr>
          <w:sz w:val="24"/>
          <w:szCs w:val="24"/>
        </w:rPr>
      </w:pPr>
      <w:r w:rsidRPr="000B7410">
        <w:rPr>
          <w:sz w:val="24"/>
          <w:szCs w:val="24"/>
        </w:rPr>
        <w:t>The first session presented a short video explaining the invasion curve and how it can be used to assist in decision-making</w:t>
      </w:r>
      <w:r w:rsidR="008A3171">
        <w:rPr>
          <w:rStyle w:val="FootnoteReference"/>
          <w:sz w:val="24"/>
          <w:szCs w:val="24"/>
        </w:rPr>
        <w:footnoteReference w:id="4"/>
      </w:r>
      <w:r w:rsidRPr="000B7410">
        <w:rPr>
          <w:sz w:val="24"/>
          <w:szCs w:val="24"/>
        </w:rPr>
        <w:t>. As the invasion curve provides a basis on which biosecurity investment decisions can be made, it was important that all workshop participants understood the curve as this would influence their contributions to the rest of the workshop.</w:t>
      </w:r>
    </w:p>
    <w:p w14:paraId="0AEA3353" w14:textId="77777777" w:rsidR="00BC4C2D" w:rsidRPr="000B7410" w:rsidRDefault="00BC4C2D" w:rsidP="00BC4C2D">
      <w:pPr>
        <w:spacing w:before="120"/>
        <w:rPr>
          <w:sz w:val="24"/>
          <w:szCs w:val="24"/>
        </w:rPr>
      </w:pPr>
      <w:r w:rsidRPr="000B7410">
        <w:rPr>
          <w:sz w:val="24"/>
          <w:szCs w:val="24"/>
        </w:rPr>
        <w:t>The key messages from the video were:</w:t>
      </w:r>
    </w:p>
    <w:p w14:paraId="55BFBDBC" w14:textId="77777777" w:rsidR="00BC4C2D" w:rsidRPr="000B7410" w:rsidRDefault="00BC4C2D" w:rsidP="00BC4C2D">
      <w:pPr>
        <w:pStyle w:val="ListParagraph"/>
        <w:numPr>
          <w:ilvl w:val="0"/>
          <w:numId w:val="9"/>
        </w:numPr>
        <w:spacing w:before="120"/>
        <w:rPr>
          <w:sz w:val="24"/>
          <w:szCs w:val="24"/>
        </w:rPr>
      </w:pPr>
      <w:r w:rsidRPr="000B7410">
        <w:rPr>
          <w:sz w:val="24"/>
          <w:szCs w:val="24"/>
        </w:rPr>
        <w:t>Economic return on investment decreases from left to right along the curve. However, the ‘unmeasurable’ environmental and social benefits (e.g. species conservation) can far outweigh any economic benefit — particularly toward the right-hand side of the curve.</w:t>
      </w:r>
    </w:p>
    <w:p w14:paraId="37DEB32F" w14:textId="77777777" w:rsidR="00BC4C2D" w:rsidRPr="000B7410" w:rsidRDefault="00BC4C2D" w:rsidP="00BC4C2D">
      <w:pPr>
        <w:pStyle w:val="ListParagraph"/>
        <w:numPr>
          <w:ilvl w:val="0"/>
          <w:numId w:val="9"/>
        </w:numPr>
        <w:spacing w:before="120"/>
        <w:rPr>
          <w:sz w:val="24"/>
          <w:szCs w:val="24"/>
        </w:rPr>
      </w:pPr>
      <w:r w:rsidRPr="000B7410">
        <w:rPr>
          <w:sz w:val="24"/>
          <w:szCs w:val="24"/>
        </w:rPr>
        <w:t>The type of action taken should reflect the range and abundance of the invasive species (e.g. ‘eradication’ should not be the goal if the species is widespread and abundant).</w:t>
      </w:r>
    </w:p>
    <w:p w14:paraId="758CDC66" w14:textId="77777777" w:rsidR="00BC4C2D" w:rsidRPr="000B7410" w:rsidRDefault="00BC4C2D" w:rsidP="00BC4C2D">
      <w:pPr>
        <w:pStyle w:val="ListParagraph"/>
        <w:numPr>
          <w:ilvl w:val="0"/>
          <w:numId w:val="9"/>
        </w:numPr>
        <w:spacing w:before="120"/>
        <w:rPr>
          <w:sz w:val="24"/>
          <w:szCs w:val="24"/>
        </w:rPr>
      </w:pPr>
      <w:r w:rsidRPr="000B7410">
        <w:rPr>
          <w:sz w:val="24"/>
          <w:szCs w:val="24"/>
        </w:rPr>
        <w:t>Surveillance activity is an integral activity across the curve.</w:t>
      </w:r>
    </w:p>
    <w:p w14:paraId="37F03C73" w14:textId="77777777" w:rsidR="00BC4C2D" w:rsidRPr="000B7410" w:rsidRDefault="00BC4C2D" w:rsidP="00BC4C2D">
      <w:pPr>
        <w:pStyle w:val="ListParagraph"/>
        <w:numPr>
          <w:ilvl w:val="0"/>
          <w:numId w:val="9"/>
        </w:numPr>
        <w:spacing w:before="120"/>
        <w:rPr>
          <w:sz w:val="24"/>
          <w:szCs w:val="24"/>
        </w:rPr>
      </w:pPr>
      <w:r w:rsidRPr="000B7410">
        <w:rPr>
          <w:sz w:val="24"/>
          <w:szCs w:val="24"/>
        </w:rPr>
        <w:t>Biosecurity action is required across the curve if we are to maintain WA’s biosecurity. This requires industry, government and community involvement.</w:t>
      </w:r>
    </w:p>
    <w:p w14:paraId="164BEA50" w14:textId="77777777" w:rsidR="00BC4C2D" w:rsidRPr="000B7410" w:rsidRDefault="00BC4C2D" w:rsidP="00BC4C2D">
      <w:pPr>
        <w:pStyle w:val="ListParagraph"/>
        <w:numPr>
          <w:ilvl w:val="0"/>
          <w:numId w:val="9"/>
        </w:numPr>
        <w:spacing w:before="120"/>
        <w:rPr>
          <w:sz w:val="24"/>
          <w:szCs w:val="24"/>
        </w:rPr>
      </w:pPr>
      <w:r w:rsidRPr="000B7410">
        <w:rPr>
          <w:sz w:val="24"/>
          <w:szCs w:val="24"/>
        </w:rPr>
        <w:t>Government’s efforts are more targeted toward the left-hand side of the curve; but also play a key role in biodiversity protection (i.e. right-hand side of the curve). Industry and community are best placed to protect particular assets (i.e. right-hand side of the curve). Nevertheless, cooperative efforts are critical.</w:t>
      </w:r>
    </w:p>
    <w:p w14:paraId="7968AD11" w14:textId="77777777" w:rsidR="00BC4C2D" w:rsidRPr="000B7410" w:rsidRDefault="00BC4C2D" w:rsidP="00BC4C2D">
      <w:pPr>
        <w:pStyle w:val="Heading3"/>
        <w:numPr>
          <w:ilvl w:val="0"/>
          <w:numId w:val="0"/>
        </w:numPr>
        <w:rPr>
          <w:sz w:val="24"/>
          <w:szCs w:val="24"/>
        </w:rPr>
      </w:pPr>
      <w:bookmarkStart w:id="19" w:name="_Toc433204419"/>
      <w:r w:rsidRPr="000B7410">
        <w:rPr>
          <w:sz w:val="24"/>
          <w:szCs w:val="24"/>
        </w:rPr>
        <w:t>Review of resourcing: where and how resources are targeted; opportunities; and constraints</w:t>
      </w:r>
      <w:bookmarkEnd w:id="19"/>
    </w:p>
    <w:p w14:paraId="3FC4533F" w14:textId="77777777" w:rsidR="00BC4C2D" w:rsidRPr="000B7410" w:rsidRDefault="00BC4C2D" w:rsidP="00BC4C2D">
      <w:pPr>
        <w:rPr>
          <w:i/>
          <w:sz w:val="24"/>
          <w:szCs w:val="24"/>
        </w:rPr>
      </w:pPr>
      <w:r w:rsidRPr="000B7410">
        <w:rPr>
          <w:i/>
          <w:sz w:val="24"/>
          <w:szCs w:val="24"/>
        </w:rPr>
        <w:t>Anticipated outcome: Participants have contributed to a shared understanding of the drivers and constraints for industry, community and government action on biosecurity.</w:t>
      </w:r>
    </w:p>
    <w:p w14:paraId="69BA6B48" w14:textId="77777777" w:rsidR="00BC4C2D" w:rsidRPr="000B7410" w:rsidRDefault="00BC4C2D" w:rsidP="00BC4C2D">
      <w:pPr>
        <w:spacing w:before="120"/>
        <w:rPr>
          <w:rFonts w:cs="Arial"/>
          <w:sz w:val="24"/>
          <w:szCs w:val="24"/>
        </w:rPr>
      </w:pPr>
      <w:r w:rsidRPr="000B7410">
        <w:rPr>
          <w:rFonts w:cs="Arial"/>
          <w:sz w:val="24"/>
          <w:szCs w:val="24"/>
        </w:rPr>
        <w:t>The ‘Review of resourcing’ session began with an overview of the state governments’ resourcing position, and how this influences government investment in biosecurity activities. This included information on where government resources are/will be targeted and why, as well as insights into how these decisions are made. As government resources decrease, industry and community leadership in biosecurity will become increasingly important. The presentation was followed by a case study of the Victorian wild dog experience, to highlight an example of industry/community-driven biosecurity.</w:t>
      </w:r>
    </w:p>
    <w:p w14:paraId="31ECD1EE" w14:textId="77777777" w:rsidR="000B7410" w:rsidRDefault="000B7410">
      <w:pPr>
        <w:spacing w:line="240" w:lineRule="auto"/>
        <w:jc w:val="center"/>
        <w:rPr>
          <w:rFonts w:cs="Arial"/>
          <w:sz w:val="24"/>
          <w:szCs w:val="24"/>
        </w:rPr>
      </w:pPr>
      <w:r>
        <w:rPr>
          <w:rFonts w:cs="Arial"/>
          <w:sz w:val="24"/>
          <w:szCs w:val="24"/>
        </w:rPr>
        <w:br w:type="page"/>
      </w:r>
    </w:p>
    <w:p w14:paraId="2FB2895E" w14:textId="04E074C8" w:rsidR="00BC4C2D" w:rsidRPr="000B7410" w:rsidRDefault="00BC4C2D" w:rsidP="00BC4C2D">
      <w:pPr>
        <w:spacing w:before="120"/>
        <w:rPr>
          <w:rFonts w:cs="Arial"/>
          <w:sz w:val="24"/>
          <w:szCs w:val="24"/>
        </w:rPr>
      </w:pPr>
      <w:r w:rsidRPr="000B7410">
        <w:rPr>
          <w:rFonts w:cs="Arial"/>
          <w:sz w:val="24"/>
          <w:szCs w:val="24"/>
        </w:rPr>
        <w:lastRenderedPageBreak/>
        <w:t>Key points – Government’s resourcing position:</w:t>
      </w:r>
    </w:p>
    <w:p w14:paraId="6F4C9750"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Government investment in biosecurity will be much more targeted, with areas of public benefit being priority. The implications of this need to be discussed and addressed.</w:t>
      </w:r>
    </w:p>
    <w:p w14:paraId="6855D2CB"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Areas of importance to industry/community will need to be identified and actions driven by industry/community.</w:t>
      </w:r>
    </w:p>
    <w:p w14:paraId="21934B6E" w14:textId="0EA3506B" w:rsidR="003B4061" w:rsidRPr="000B7410" w:rsidRDefault="00BC4C2D" w:rsidP="000B7410">
      <w:pPr>
        <w:pStyle w:val="ListParagraph"/>
        <w:numPr>
          <w:ilvl w:val="0"/>
          <w:numId w:val="10"/>
        </w:numPr>
        <w:spacing w:before="120"/>
        <w:rPr>
          <w:rFonts w:cs="Arial"/>
          <w:sz w:val="24"/>
          <w:szCs w:val="24"/>
        </w:rPr>
      </w:pPr>
      <w:r w:rsidRPr="000B7410">
        <w:rPr>
          <w:rFonts w:cs="Arial"/>
          <w:sz w:val="24"/>
          <w:szCs w:val="24"/>
        </w:rPr>
        <w:t>Everyone needs to optimise their resources across</w:t>
      </w:r>
      <w:r w:rsidR="008A3171">
        <w:rPr>
          <w:rFonts w:cs="Arial"/>
          <w:sz w:val="24"/>
          <w:szCs w:val="24"/>
        </w:rPr>
        <w:t xml:space="preserve"> the curve — appropriate roles/</w:t>
      </w:r>
      <w:r w:rsidRPr="000B7410">
        <w:rPr>
          <w:rFonts w:cs="Arial"/>
          <w:sz w:val="24"/>
          <w:szCs w:val="24"/>
        </w:rPr>
        <w:t>responsibilities must be recognised and accepted.</w:t>
      </w:r>
    </w:p>
    <w:p w14:paraId="5E8D5C3F" w14:textId="6C841129" w:rsidR="00BC4C2D" w:rsidRPr="000B7410" w:rsidRDefault="00BC4C2D" w:rsidP="00BC4C2D">
      <w:pPr>
        <w:spacing w:before="120"/>
        <w:rPr>
          <w:rFonts w:cs="Arial"/>
          <w:sz w:val="24"/>
          <w:szCs w:val="24"/>
        </w:rPr>
      </w:pPr>
      <w:r w:rsidRPr="000B7410">
        <w:rPr>
          <w:rFonts w:cs="Arial"/>
          <w:sz w:val="24"/>
          <w:szCs w:val="24"/>
        </w:rPr>
        <w:t>Key points – Victorian wild dog case study:</w:t>
      </w:r>
    </w:p>
    <w:p w14:paraId="7018B620"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Management of wild dogs has been contentious — community and industry leadership and participation is currently the focus (and into the future).</w:t>
      </w:r>
    </w:p>
    <w:p w14:paraId="7F0FD046"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 xml:space="preserve">Collaborative approach was implemented, including establishment of Wild Dog Advisory Committee, management zone work plans, </w:t>
      </w:r>
      <w:proofErr w:type="gramStart"/>
      <w:r w:rsidRPr="000B7410">
        <w:rPr>
          <w:rFonts w:cs="Arial"/>
          <w:sz w:val="24"/>
          <w:szCs w:val="24"/>
        </w:rPr>
        <w:t>wild</w:t>
      </w:r>
      <w:proofErr w:type="gramEnd"/>
      <w:r w:rsidRPr="000B7410">
        <w:rPr>
          <w:rFonts w:cs="Arial"/>
          <w:sz w:val="24"/>
          <w:szCs w:val="24"/>
        </w:rPr>
        <w:t xml:space="preserve"> dog action plan.</w:t>
      </w:r>
    </w:p>
    <w:p w14:paraId="1CB607CA"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The new approach appears to be having an impact — it has strengthened coordination, and there have been reduced incidents and increased participation in the program.</w:t>
      </w:r>
    </w:p>
    <w:p w14:paraId="0E559BB0" w14:textId="67B7978B" w:rsidR="00BC4C2D" w:rsidRPr="000B7410" w:rsidRDefault="00BC4C2D" w:rsidP="00BC4C2D">
      <w:pPr>
        <w:spacing w:before="120"/>
        <w:rPr>
          <w:rFonts w:cs="Arial"/>
          <w:sz w:val="24"/>
          <w:szCs w:val="24"/>
        </w:rPr>
      </w:pPr>
      <w:r w:rsidRPr="000B7410">
        <w:rPr>
          <w:rFonts w:cs="Arial"/>
          <w:sz w:val="24"/>
          <w:szCs w:val="24"/>
        </w:rPr>
        <w:t xml:space="preserve">Following the presentations, workshop participants were divided into industry, community and government groups. This provided an opportunity for the sectors to develop their own ‘positions’ on biosecurity, given the implication that industry and community would need to play a greater leadership role into the future. The session highlighted the priorities, factors influencing decisions/actions, areas that are working well, major constraints and the enablers going forward for each sector (Table </w:t>
      </w:r>
      <w:r w:rsidR="000B7410" w:rsidRPr="000B7410">
        <w:rPr>
          <w:rFonts w:cs="Arial"/>
          <w:sz w:val="24"/>
          <w:szCs w:val="24"/>
        </w:rPr>
        <w:t>A2.1</w:t>
      </w:r>
      <w:r w:rsidRPr="000B7410">
        <w:rPr>
          <w:rFonts w:cs="Arial"/>
          <w:sz w:val="24"/>
          <w:szCs w:val="24"/>
        </w:rPr>
        <w:t>).</w:t>
      </w:r>
    </w:p>
    <w:p w14:paraId="05427779" w14:textId="77777777" w:rsidR="00BC4C2D" w:rsidRPr="000B7410" w:rsidRDefault="00BC4C2D" w:rsidP="00BC4C2D">
      <w:pPr>
        <w:pStyle w:val="Heading3"/>
        <w:numPr>
          <w:ilvl w:val="0"/>
          <w:numId w:val="0"/>
        </w:numPr>
        <w:rPr>
          <w:sz w:val="24"/>
          <w:szCs w:val="24"/>
        </w:rPr>
      </w:pPr>
      <w:bookmarkStart w:id="20" w:name="_Toc433204420"/>
      <w:r w:rsidRPr="000B7410">
        <w:rPr>
          <w:sz w:val="24"/>
          <w:szCs w:val="24"/>
        </w:rPr>
        <w:t>Exploration of risk-based decision-making and investment</w:t>
      </w:r>
      <w:bookmarkEnd w:id="20"/>
    </w:p>
    <w:p w14:paraId="61EE09D6" w14:textId="77777777" w:rsidR="00BC4C2D" w:rsidRPr="000B7410" w:rsidRDefault="00BC4C2D" w:rsidP="00BC4C2D">
      <w:pPr>
        <w:rPr>
          <w:i/>
          <w:sz w:val="24"/>
          <w:szCs w:val="24"/>
        </w:rPr>
      </w:pPr>
      <w:r w:rsidRPr="000B7410">
        <w:rPr>
          <w:i/>
          <w:sz w:val="24"/>
          <w:szCs w:val="24"/>
        </w:rPr>
        <w:t>Anticipated outcome: Participants have contributed to an improved understanding of the process for risk-based decision-making and balancing effort across biosecurity threats and across sectors.</w:t>
      </w:r>
    </w:p>
    <w:p w14:paraId="03FC4F61" w14:textId="77777777" w:rsidR="00BC4C2D" w:rsidRPr="000B7410" w:rsidRDefault="00BC4C2D" w:rsidP="00BC4C2D">
      <w:pPr>
        <w:spacing w:before="120"/>
        <w:rPr>
          <w:rFonts w:cs="Arial"/>
          <w:sz w:val="24"/>
          <w:szCs w:val="24"/>
        </w:rPr>
      </w:pPr>
      <w:r w:rsidRPr="000B7410">
        <w:rPr>
          <w:rFonts w:cs="Arial"/>
          <w:sz w:val="24"/>
          <w:szCs w:val="24"/>
        </w:rPr>
        <w:t>This session enabled the workshop participants to apply the lessons learnt from the previous sessions to different biosecurity scenarios spanning the breadth of the invasion curve. There were five scenarios:</w:t>
      </w:r>
    </w:p>
    <w:p w14:paraId="017E00A7"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Asian paddle crab incursion in the Peel Harvey Estuary</w:t>
      </w:r>
    </w:p>
    <w:p w14:paraId="59EBB3EC"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 xml:space="preserve">Control of </w:t>
      </w:r>
      <w:r w:rsidRPr="000B7410">
        <w:rPr>
          <w:rFonts w:cs="Arial"/>
          <w:i/>
          <w:sz w:val="24"/>
          <w:szCs w:val="24"/>
        </w:rPr>
        <w:t xml:space="preserve">Phytophthora </w:t>
      </w:r>
      <w:proofErr w:type="spellStart"/>
      <w:r w:rsidRPr="000B7410">
        <w:rPr>
          <w:rFonts w:cs="Arial"/>
          <w:i/>
          <w:sz w:val="24"/>
          <w:szCs w:val="24"/>
        </w:rPr>
        <w:t>cinnamomi</w:t>
      </w:r>
      <w:proofErr w:type="spellEnd"/>
      <w:r w:rsidRPr="000B7410">
        <w:rPr>
          <w:rFonts w:cs="Arial"/>
          <w:sz w:val="24"/>
          <w:szCs w:val="24"/>
        </w:rPr>
        <w:t xml:space="preserve"> (dieback) in the </w:t>
      </w:r>
      <w:proofErr w:type="spellStart"/>
      <w:r w:rsidRPr="000B7410">
        <w:rPr>
          <w:rFonts w:cs="Arial"/>
          <w:sz w:val="24"/>
          <w:szCs w:val="24"/>
        </w:rPr>
        <w:t>Whicher</w:t>
      </w:r>
      <w:proofErr w:type="spellEnd"/>
      <w:r w:rsidRPr="000B7410">
        <w:rPr>
          <w:rFonts w:cs="Arial"/>
          <w:sz w:val="24"/>
          <w:szCs w:val="24"/>
        </w:rPr>
        <w:t xml:space="preserve"> Scarp</w:t>
      </w:r>
    </w:p>
    <w:p w14:paraId="426259D9"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 xml:space="preserve">A possible starling sighting near </w:t>
      </w:r>
      <w:proofErr w:type="spellStart"/>
      <w:r w:rsidRPr="000B7410">
        <w:rPr>
          <w:rFonts w:cs="Arial"/>
          <w:sz w:val="24"/>
          <w:szCs w:val="24"/>
        </w:rPr>
        <w:t>Munglinup</w:t>
      </w:r>
      <w:proofErr w:type="spellEnd"/>
    </w:p>
    <w:p w14:paraId="521DBB76"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Detection of Queensland fruit fly in Midland</w:t>
      </w:r>
    </w:p>
    <w:p w14:paraId="59AD91B5" w14:textId="77777777" w:rsidR="00BC4C2D" w:rsidRPr="000B7410" w:rsidRDefault="00BC4C2D" w:rsidP="00BC4C2D">
      <w:pPr>
        <w:pStyle w:val="ListParagraph"/>
        <w:numPr>
          <w:ilvl w:val="0"/>
          <w:numId w:val="10"/>
        </w:numPr>
        <w:spacing w:before="120"/>
        <w:rPr>
          <w:rFonts w:cs="Arial"/>
          <w:sz w:val="24"/>
          <w:szCs w:val="24"/>
        </w:rPr>
      </w:pPr>
      <w:r w:rsidRPr="000B7410">
        <w:rPr>
          <w:rFonts w:cs="Arial"/>
          <w:sz w:val="24"/>
          <w:szCs w:val="24"/>
        </w:rPr>
        <w:t xml:space="preserve">Increasing numbers of wild dogs on a pastoral lease in the southern rangelands. </w:t>
      </w:r>
    </w:p>
    <w:p w14:paraId="09B97D82" w14:textId="653E76EB" w:rsidR="00BC4C2D" w:rsidRDefault="00BC4C2D" w:rsidP="00BC4C2D">
      <w:pPr>
        <w:spacing w:before="120"/>
        <w:rPr>
          <w:rFonts w:cs="Arial"/>
          <w:szCs w:val="20"/>
        </w:rPr>
      </w:pPr>
      <w:r w:rsidRPr="000B7410">
        <w:rPr>
          <w:rFonts w:cs="Arial"/>
          <w:sz w:val="24"/>
          <w:szCs w:val="24"/>
        </w:rPr>
        <w:t xml:space="preserve">The aims were to test decision-making in terms of determining the level of action appropriate for each scenario (as per the Invasion Curve), to understand the level of action each sector could commit to, and to identify gaps and potential solutions. The insights gained from the session are documented in </w:t>
      </w:r>
      <w:r w:rsidR="006A3CF9" w:rsidRPr="000B7410">
        <w:rPr>
          <w:rFonts w:cs="Arial"/>
          <w:sz w:val="24"/>
          <w:szCs w:val="24"/>
        </w:rPr>
        <w:t xml:space="preserve">Table </w:t>
      </w:r>
      <w:r w:rsidR="000B7410" w:rsidRPr="000B7410">
        <w:rPr>
          <w:rFonts w:cs="Arial"/>
          <w:sz w:val="24"/>
          <w:szCs w:val="24"/>
        </w:rPr>
        <w:t>A2.2</w:t>
      </w:r>
      <w:r w:rsidRPr="000B7410">
        <w:rPr>
          <w:rFonts w:cs="Arial"/>
          <w:sz w:val="24"/>
          <w:szCs w:val="24"/>
        </w:rPr>
        <w:t>.</w:t>
      </w:r>
    </w:p>
    <w:p w14:paraId="2C10AAF6" w14:textId="77777777" w:rsidR="00BC4C2D" w:rsidRDefault="00BC4C2D" w:rsidP="00BC4C2D">
      <w:pPr>
        <w:spacing w:before="120"/>
        <w:rPr>
          <w:rFonts w:cs="Arial"/>
          <w:szCs w:val="20"/>
        </w:rPr>
        <w:sectPr w:rsidR="00BC4C2D" w:rsidSect="00EE21BF">
          <w:footerReference w:type="default" r:id="rId13"/>
          <w:pgSz w:w="12240" w:h="15840"/>
          <w:pgMar w:top="1440" w:right="1440" w:bottom="1440" w:left="1440" w:header="708" w:footer="708" w:gutter="0"/>
          <w:pgNumType w:start="1"/>
          <w:cols w:space="708"/>
          <w:titlePg/>
          <w:docGrid w:linePitch="360"/>
        </w:sectPr>
      </w:pPr>
    </w:p>
    <w:p w14:paraId="167B64D4" w14:textId="2C4047D3" w:rsidR="00BC4C2D" w:rsidRPr="000B7410" w:rsidRDefault="00BC4C2D" w:rsidP="003B4061">
      <w:pPr>
        <w:rPr>
          <w:rFonts w:cs="Arial"/>
          <w:b/>
          <w:sz w:val="24"/>
          <w:szCs w:val="24"/>
        </w:rPr>
      </w:pPr>
      <w:r w:rsidRPr="000B7410">
        <w:rPr>
          <w:rFonts w:cs="Arial"/>
          <w:b/>
          <w:sz w:val="24"/>
          <w:szCs w:val="24"/>
        </w:rPr>
        <w:lastRenderedPageBreak/>
        <w:t xml:space="preserve">Table </w:t>
      </w:r>
      <w:r w:rsidR="000B7410" w:rsidRPr="000B7410">
        <w:rPr>
          <w:rFonts w:cs="Arial"/>
          <w:b/>
          <w:sz w:val="24"/>
          <w:szCs w:val="24"/>
        </w:rPr>
        <w:t>A2.1</w:t>
      </w:r>
      <w:r w:rsidRPr="000B7410">
        <w:rPr>
          <w:rFonts w:cs="Arial"/>
          <w:b/>
          <w:sz w:val="24"/>
          <w:szCs w:val="24"/>
        </w:rPr>
        <w:t xml:space="preserve">. </w:t>
      </w:r>
      <w:r w:rsidRPr="000B7410">
        <w:rPr>
          <w:b/>
          <w:sz w:val="24"/>
          <w:szCs w:val="24"/>
        </w:rPr>
        <w:t>Review of resourcing: where and how resources are targeted; opportunities; and constraints</w:t>
      </w:r>
    </w:p>
    <w:tbl>
      <w:tblPr>
        <w:tblStyle w:val="TableGrid"/>
        <w:tblW w:w="0" w:type="auto"/>
        <w:tblLook w:val="04A0" w:firstRow="1" w:lastRow="0" w:firstColumn="1" w:lastColumn="0" w:noHBand="0" w:noVBand="1"/>
        <w:tblDescription w:val="Table identifying the workshop group responses."/>
      </w:tblPr>
      <w:tblGrid>
        <w:gridCol w:w="1809"/>
        <w:gridCol w:w="4678"/>
        <w:gridCol w:w="3042"/>
        <w:gridCol w:w="3647"/>
      </w:tblGrid>
      <w:tr w:rsidR="00BC4C2D" w:rsidRPr="003B4061" w14:paraId="450D0085" w14:textId="77777777" w:rsidTr="003779C7">
        <w:trPr>
          <w:tblHeader/>
        </w:trPr>
        <w:tc>
          <w:tcPr>
            <w:tcW w:w="1809" w:type="dxa"/>
          </w:tcPr>
          <w:p w14:paraId="16D7DB1B" w14:textId="77777777" w:rsidR="00BC4C2D" w:rsidRPr="003B4061" w:rsidRDefault="00BC4C2D" w:rsidP="00BC4C2D">
            <w:pPr>
              <w:spacing w:before="60" w:after="60"/>
              <w:rPr>
                <w:rFonts w:cs="Arial"/>
                <w:b/>
                <w:sz w:val="20"/>
                <w:szCs w:val="20"/>
              </w:rPr>
            </w:pPr>
          </w:p>
        </w:tc>
        <w:tc>
          <w:tcPr>
            <w:tcW w:w="4678" w:type="dxa"/>
          </w:tcPr>
          <w:p w14:paraId="71FD5639" w14:textId="77777777" w:rsidR="00BC4C2D" w:rsidRPr="003B4061" w:rsidRDefault="00BC4C2D" w:rsidP="00BC4C2D">
            <w:pPr>
              <w:spacing w:before="60" w:after="60"/>
              <w:rPr>
                <w:rFonts w:cs="Arial"/>
                <w:b/>
                <w:sz w:val="20"/>
                <w:szCs w:val="20"/>
              </w:rPr>
            </w:pPr>
            <w:r w:rsidRPr="003B4061">
              <w:rPr>
                <w:rFonts w:cs="Arial"/>
                <w:b/>
                <w:sz w:val="20"/>
                <w:szCs w:val="20"/>
              </w:rPr>
              <w:t>Industry</w:t>
            </w:r>
          </w:p>
        </w:tc>
        <w:tc>
          <w:tcPr>
            <w:tcW w:w="3042" w:type="dxa"/>
          </w:tcPr>
          <w:p w14:paraId="1EE1CA7C" w14:textId="77777777" w:rsidR="00BC4C2D" w:rsidRPr="003B4061" w:rsidRDefault="00BC4C2D" w:rsidP="00BC4C2D">
            <w:pPr>
              <w:spacing w:before="60" w:after="60"/>
              <w:rPr>
                <w:rFonts w:cs="Arial"/>
                <w:b/>
                <w:sz w:val="20"/>
                <w:szCs w:val="20"/>
              </w:rPr>
            </w:pPr>
            <w:r w:rsidRPr="003B4061">
              <w:rPr>
                <w:rFonts w:cs="Arial"/>
                <w:b/>
                <w:sz w:val="20"/>
                <w:szCs w:val="20"/>
              </w:rPr>
              <w:t>Government</w:t>
            </w:r>
          </w:p>
        </w:tc>
        <w:tc>
          <w:tcPr>
            <w:tcW w:w="3647" w:type="dxa"/>
          </w:tcPr>
          <w:p w14:paraId="5721C199" w14:textId="77777777" w:rsidR="00BC4C2D" w:rsidRPr="003B4061" w:rsidRDefault="00BC4C2D" w:rsidP="00BC4C2D">
            <w:pPr>
              <w:spacing w:before="60" w:after="60"/>
              <w:rPr>
                <w:rFonts w:cs="Arial"/>
                <w:b/>
                <w:sz w:val="20"/>
                <w:szCs w:val="20"/>
              </w:rPr>
            </w:pPr>
            <w:r w:rsidRPr="003B4061">
              <w:rPr>
                <w:rFonts w:cs="Arial"/>
                <w:b/>
                <w:sz w:val="20"/>
                <w:szCs w:val="20"/>
              </w:rPr>
              <w:t>Community</w:t>
            </w:r>
          </w:p>
        </w:tc>
      </w:tr>
      <w:tr w:rsidR="00BC4C2D" w:rsidRPr="003B4061" w14:paraId="29C6C87C" w14:textId="77777777" w:rsidTr="003B4061">
        <w:tc>
          <w:tcPr>
            <w:tcW w:w="1809" w:type="dxa"/>
          </w:tcPr>
          <w:p w14:paraId="1ED9C469" w14:textId="77777777" w:rsidR="00BC4C2D" w:rsidRPr="003B4061" w:rsidRDefault="00BC4C2D" w:rsidP="00BC4C2D">
            <w:pPr>
              <w:spacing w:before="60" w:after="60"/>
              <w:rPr>
                <w:rFonts w:cs="Arial"/>
                <w:b/>
                <w:sz w:val="20"/>
                <w:szCs w:val="20"/>
              </w:rPr>
            </w:pPr>
            <w:r w:rsidRPr="003B4061">
              <w:rPr>
                <w:rFonts w:cs="Arial"/>
                <w:b/>
                <w:sz w:val="20"/>
                <w:szCs w:val="20"/>
              </w:rPr>
              <w:t>Priorities</w:t>
            </w:r>
          </w:p>
        </w:tc>
        <w:tc>
          <w:tcPr>
            <w:tcW w:w="4678" w:type="dxa"/>
          </w:tcPr>
          <w:p w14:paraId="2350BEAC" w14:textId="77777777" w:rsidR="00BC4C2D" w:rsidRPr="003B4061" w:rsidRDefault="00BC4C2D" w:rsidP="00BC4C2D">
            <w:pPr>
              <w:spacing w:before="60" w:after="60"/>
              <w:rPr>
                <w:rFonts w:cs="Arial"/>
                <w:sz w:val="20"/>
                <w:szCs w:val="20"/>
              </w:rPr>
            </w:pPr>
            <w:r w:rsidRPr="003B4061">
              <w:rPr>
                <w:rFonts w:cs="Arial"/>
                <w:sz w:val="20"/>
                <w:szCs w:val="20"/>
              </w:rPr>
              <w:t>Prevention (A, F), preparedness (H), surveillance (A, F), control (F), compliance (F)</w:t>
            </w:r>
          </w:p>
          <w:p w14:paraId="6BAF8DBF" w14:textId="77777777" w:rsidR="00BC4C2D" w:rsidRPr="003B4061" w:rsidRDefault="00BC4C2D" w:rsidP="00BC4C2D">
            <w:pPr>
              <w:spacing w:before="60" w:after="60"/>
              <w:rPr>
                <w:rFonts w:cs="Arial"/>
                <w:sz w:val="20"/>
                <w:szCs w:val="20"/>
              </w:rPr>
            </w:pPr>
            <w:r w:rsidRPr="003B4061">
              <w:rPr>
                <w:rFonts w:cs="Arial"/>
                <w:sz w:val="20"/>
                <w:szCs w:val="20"/>
              </w:rPr>
              <w:t>Enhanced profits (A)</w:t>
            </w:r>
          </w:p>
          <w:p w14:paraId="48DDBA3E" w14:textId="77777777" w:rsidR="00BC4C2D" w:rsidRPr="003B4061" w:rsidRDefault="00BC4C2D" w:rsidP="00BC4C2D">
            <w:pPr>
              <w:spacing w:before="60" w:after="60"/>
              <w:rPr>
                <w:rFonts w:cs="Arial"/>
                <w:sz w:val="20"/>
                <w:szCs w:val="20"/>
              </w:rPr>
            </w:pPr>
            <w:r w:rsidRPr="003B4061">
              <w:rPr>
                <w:rFonts w:cs="Arial"/>
                <w:sz w:val="20"/>
                <w:szCs w:val="20"/>
              </w:rPr>
              <w:t>Accessing markets / maintaining the ‘clean-green’ profile (A)</w:t>
            </w:r>
          </w:p>
          <w:p w14:paraId="7D3EBEE7" w14:textId="77777777" w:rsidR="00BC4C2D" w:rsidRPr="003B4061" w:rsidRDefault="00BC4C2D" w:rsidP="00BC4C2D">
            <w:pPr>
              <w:spacing w:before="60" w:after="60"/>
              <w:rPr>
                <w:rFonts w:cs="Arial"/>
                <w:sz w:val="20"/>
                <w:szCs w:val="20"/>
              </w:rPr>
            </w:pPr>
            <w:r w:rsidRPr="003B4061">
              <w:rPr>
                <w:rFonts w:cs="Arial"/>
                <w:sz w:val="20"/>
                <w:szCs w:val="20"/>
              </w:rPr>
              <w:t>Food safety (A)</w:t>
            </w:r>
          </w:p>
          <w:p w14:paraId="6B2E90B6" w14:textId="77777777" w:rsidR="00BC4C2D" w:rsidRPr="003B4061" w:rsidRDefault="00BC4C2D" w:rsidP="00BC4C2D">
            <w:pPr>
              <w:spacing w:before="60" w:after="60"/>
              <w:rPr>
                <w:rFonts w:cs="Arial"/>
                <w:sz w:val="20"/>
                <w:szCs w:val="20"/>
              </w:rPr>
            </w:pPr>
            <w:r w:rsidRPr="003B4061">
              <w:rPr>
                <w:rFonts w:cs="Arial"/>
                <w:sz w:val="20"/>
                <w:szCs w:val="20"/>
              </w:rPr>
              <w:t>Sustainability (A)</w:t>
            </w:r>
          </w:p>
          <w:p w14:paraId="74728C6D" w14:textId="77777777" w:rsidR="00BC4C2D" w:rsidRPr="003B4061" w:rsidRDefault="00BC4C2D" w:rsidP="00BC4C2D">
            <w:pPr>
              <w:spacing w:before="60" w:after="60"/>
              <w:rPr>
                <w:rFonts w:cs="Arial"/>
                <w:sz w:val="20"/>
                <w:szCs w:val="20"/>
              </w:rPr>
            </w:pPr>
            <w:r w:rsidRPr="003B4061">
              <w:rPr>
                <w:rFonts w:cs="Arial"/>
                <w:sz w:val="20"/>
                <w:szCs w:val="20"/>
              </w:rPr>
              <w:t>Public awareness/ education/ reporting / participation (A, F H)</w:t>
            </w:r>
          </w:p>
          <w:p w14:paraId="69822A9B" w14:textId="77777777" w:rsidR="00BC4C2D" w:rsidRPr="003B4061" w:rsidRDefault="00BC4C2D" w:rsidP="00BC4C2D">
            <w:pPr>
              <w:spacing w:before="60" w:after="60"/>
              <w:rPr>
                <w:rFonts w:cs="Arial"/>
                <w:sz w:val="20"/>
                <w:szCs w:val="20"/>
              </w:rPr>
            </w:pPr>
            <w:r w:rsidRPr="003B4061">
              <w:rPr>
                <w:rFonts w:cs="Arial"/>
                <w:sz w:val="20"/>
                <w:szCs w:val="20"/>
              </w:rPr>
              <w:t>Cost sharing, including community (A, H)</w:t>
            </w:r>
          </w:p>
          <w:p w14:paraId="41A963A3" w14:textId="77777777" w:rsidR="00BC4C2D" w:rsidRPr="003B4061" w:rsidRDefault="00BC4C2D" w:rsidP="00BC4C2D">
            <w:pPr>
              <w:spacing w:before="60" w:after="60"/>
              <w:rPr>
                <w:rFonts w:cs="Arial"/>
                <w:sz w:val="20"/>
                <w:szCs w:val="20"/>
              </w:rPr>
            </w:pPr>
            <w:r w:rsidRPr="003B4061">
              <w:rPr>
                <w:rFonts w:cs="Arial"/>
                <w:sz w:val="20"/>
                <w:szCs w:val="20"/>
              </w:rPr>
              <w:t>Collaboration (F, H)</w:t>
            </w:r>
          </w:p>
          <w:p w14:paraId="1A602A33" w14:textId="77777777" w:rsidR="00BC4C2D" w:rsidRPr="003B4061" w:rsidRDefault="00BC4C2D" w:rsidP="00BC4C2D">
            <w:pPr>
              <w:spacing w:before="60" w:after="60"/>
              <w:rPr>
                <w:rFonts w:cs="Arial"/>
                <w:sz w:val="20"/>
                <w:szCs w:val="20"/>
              </w:rPr>
            </w:pPr>
            <w:r w:rsidRPr="003B4061">
              <w:rPr>
                <w:rFonts w:cs="Arial"/>
                <w:sz w:val="20"/>
                <w:szCs w:val="20"/>
              </w:rPr>
              <w:t>Consistent/clear direction (F)</w:t>
            </w:r>
          </w:p>
          <w:p w14:paraId="763FB307" w14:textId="77777777" w:rsidR="00BC4C2D" w:rsidRPr="003B4061" w:rsidRDefault="00BC4C2D" w:rsidP="00BC4C2D">
            <w:pPr>
              <w:spacing w:before="60" w:after="60"/>
              <w:rPr>
                <w:rFonts w:cs="Arial"/>
                <w:sz w:val="20"/>
                <w:szCs w:val="20"/>
              </w:rPr>
            </w:pPr>
            <w:r w:rsidRPr="003B4061">
              <w:rPr>
                <w:rFonts w:cs="Arial"/>
                <w:sz w:val="20"/>
                <w:szCs w:val="20"/>
              </w:rPr>
              <w:t>Capacity / expertise (F, H)</w:t>
            </w:r>
          </w:p>
          <w:p w14:paraId="04C3FED8" w14:textId="77777777" w:rsidR="00BC4C2D" w:rsidRPr="003B4061" w:rsidRDefault="00BC4C2D" w:rsidP="00BC4C2D">
            <w:pPr>
              <w:spacing w:before="60" w:after="60"/>
              <w:rPr>
                <w:rFonts w:cs="Arial"/>
                <w:sz w:val="20"/>
                <w:szCs w:val="20"/>
              </w:rPr>
            </w:pPr>
            <w:r w:rsidRPr="003B4061">
              <w:rPr>
                <w:rFonts w:cs="Arial"/>
                <w:sz w:val="20"/>
                <w:szCs w:val="20"/>
              </w:rPr>
              <w:t>Own backyard (H)</w:t>
            </w:r>
          </w:p>
        </w:tc>
        <w:tc>
          <w:tcPr>
            <w:tcW w:w="3042" w:type="dxa"/>
          </w:tcPr>
          <w:p w14:paraId="6E145C23" w14:textId="77777777" w:rsidR="00BC4C2D" w:rsidRPr="003B4061" w:rsidRDefault="00BC4C2D" w:rsidP="00BC4C2D">
            <w:pPr>
              <w:spacing w:before="60" w:after="60"/>
              <w:rPr>
                <w:rFonts w:cs="Arial"/>
                <w:sz w:val="20"/>
                <w:szCs w:val="20"/>
              </w:rPr>
            </w:pPr>
            <w:r w:rsidRPr="003B4061">
              <w:rPr>
                <w:rFonts w:cs="Arial"/>
                <w:sz w:val="20"/>
                <w:szCs w:val="20"/>
              </w:rPr>
              <w:t>Maintaining market access</w:t>
            </w:r>
          </w:p>
          <w:p w14:paraId="1E1FA959" w14:textId="77777777" w:rsidR="00BC4C2D" w:rsidRPr="003B4061" w:rsidRDefault="00BC4C2D" w:rsidP="00BC4C2D">
            <w:pPr>
              <w:spacing w:before="60" w:after="60"/>
              <w:rPr>
                <w:rFonts w:cs="Arial"/>
                <w:sz w:val="20"/>
                <w:szCs w:val="20"/>
              </w:rPr>
            </w:pPr>
            <w:r w:rsidRPr="003B4061">
              <w:rPr>
                <w:rFonts w:cs="Arial"/>
                <w:sz w:val="20"/>
                <w:szCs w:val="20"/>
              </w:rPr>
              <w:t>Risk-based policy and process</w:t>
            </w:r>
          </w:p>
          <w:p w14:paraId="3FB06DC2" w14:textId="77777777" w:rsidR="00BC4C2D" w:rsidRPr="003B4061" w:rsidRDefault="00BC4C2D" w:rsidP="00BC4C2D">
            <w:pPr>
              <w:spacing w:before="60" w:after="60"/>
              <w:rPr>
                <w:rFonts w:cs="Arial"/>
                <w:sz w:val="20"/>
                <w:szCs w:val="20"/>
              </w:rPr>
            </w:pPr>
            <w:r w:rsidRPr="003B4061">
              <w:rPr>
                <w:rFonts w:cs="Arial"/>
                <w:sz w:val="20"/>
                <w:szCs w:val="20"/>
              </w:rPr>
              <w:t>Prevention, early detection and eradication of priority species</w:t>
            </w:r>
          </w:p>
          <w:p w14:paraId="6E6F8EAE" w14:textId="77777777" w:rsidR="00BC4C2D" w:rsidRPr="003B4061" w:rsidRDefault="00BC4C2D" w:rsidP="00BC4C2D">
            <w:pPr>
              <w:spacing w:before="60" w:after="60"/>
              <w:rPr>
                <w:rFonts w:cs="Arial"/>
                <w:sz w:val="20"/>
                <w:szCs w:val="20"/>
              </w:rPr>
            </w:pPr>
            <w:r w:rsidRPr="003B4061">
              <w:rPr>
                <w:rFonts w:cs="Arial"/>
                <w:sz w:val="20"/>
                <w:szCs w:val="20"/>
              </w:rPr>
              <w:t>Managing high risk sectors / pathways</w:t>
            </w:r>
          </w:p>
          <w:p w14:paraId="48C195EF" w14:textId="77777777" w:rsidR="00BC4C2D" w:rsidRPr="003B4061" w:rsidRDefault="00BC4C2D" w:rsidP="00BC4C2D">
            <w:pPr>
              <w:spacing w:before="60" w:after="60"/>
              <w:rPr>
                <w:rFonts w:cs="Arial"/>
                <w:sz w:val="20"/>
                <w:szCs w:val="20"/>
              </w:rPr>
            </w:pPr>
            <w:r w:rsidRPr="003B4061">
              <w:rPr>
                <w:rFonts w:cs="Arial"/>
                <w:sz w:val="20"/>
                <w:szCs w:val="20"/>
              </w:rPr>
              <w:t>Targeted stakeholder engagement</w:t>
            </w:r>
          </w:p>
          <w:p w14:paraId="45A1BAE1" w14:textId="77777777" w:rsidR="00BC4C2D" w:rsidRPr="003B4061" w:rsidRDefault="00BC4C2D" w:rsidP="00BC4C2D">
            <w:pPr>
              <w:spacing w:before="60" w:after="60"/>
              <w:rPr>
                <w:rFonts w:cs="Arial"/>
                <w:sz w:val="20"/>
                <w:szCs w:val="20"/>
              </w:rPr>
            </w:pPr>
            <w:r w:rsidRPr="003B4061">
              <w:rPr>
                <w:rFonts w:cs="Arial"/>
                <w:sz w:val="20"/>
                <w:szCs w:val="20"/>
              </w:rPr>
              <w:t>Biodiversity protection</w:t>
            </w:r>
          </w:p>
          <w:p w14:paraId="688B2766" w14:textId="77777777" w:rsidR="00BC4C2D" w:rsidRPr="003B4061" w:rsidRDefault="00BC4C2D" w:rsidP="00BC4C2D">
            <w:pPr>
              <w:spacing w:before="60" w:after="60"/>
              <w:rPr>
                <w:rFonts w:cs="Arial"/>
                <w:sz w:val="20"/>
                <w:szCs w:val="20"/>
              </w:rPr>
            </w:pPr>
            <w:r w:rsidRPr="003B4061">
              <w:rPr>
                <w:rFonts w:cs="Arial"/>
                <w:sz w:val="20"/>
                <w:szCs w:val="20"/>
              </w:rPr>
              <w:t>Managing responses to incursions</w:t>
            </w:r>
          </w:p>
          <w:p w14:paraId="3D734FD8" w14:textId="77777777" w:rsidR="00BC4C2D" w:rsidRPr="003B4061" w:rsidRDefault="00BC4C2D" w:rsidP="00BC4C2D">
            <w:pPr>
              <w:spacing w:before="60" w:after="60"/>
              <w:rPr>
                <w:rFonts w:cs="Arial"/>
                <w:sz w:val="20"/>
                <w:szCs w:val="20"/>
              </w:rPr>
            </w:pPr>
            <w:r w:rsidRPr="003B4061">
              <w:rPr>
                <w:rFonts w:cs="Arial"/>
                <w:sz w:val="20"/>
                <w:szCs w:val="20"/>
              </w:rPr>
              <w:t>Developing (collaboratively) support systems and structures</w:t>
            </w:r>
          </w:p>
        </w:tc>
        <w:tc>
          <w:tcPr>
            <w:tcW w:w="3647" w:type="dxa"/>
          </w:tcPr>
          <w:p w14:paraId="0BCAD881" w14:textId="77777777" w:rsidR="00BC4C2D" w:rsidRPr="003B4061" w:rsidRDefault="00BC4C2D" w:rsidP="00BC4C2D">
            <w:pPr>
              <w:spacing w:before="60" w:after="60"/>
              <w:rPr>
                <w:rFonts w:cs="Arial"/>
                <w:sz w:val="20"/>
                <w:szCs w:val="20"/>
              </w:rPr>
            </w:pPr>
            <w:r w:rsidRPr="003B4061">
              <w:rPr>
                <w:rFonts w:cs="Arial"/>
                <w:sz w:val="20"/>
                <w:szCs w:val="20"/>
              </w:rPr>
              <w:t>Establish RBGs in the south west to manage pests and weeds</w:t>
            </w:r>
          </w:p>
          <w:p w14:paraId="7FE087D4" w14:textId="77777777" w:rsidR="00BC4C2D" w:rsidRPr="003B4061" w:rsidRDefault="00BC4C2D" w:rsidP="00BC4C2D">
            <w:pPr>
              <w:spacing w:before="60" w:after="60"/>
              <w:rPr>
                <w:rFonts w:cs="Arial"/>
                <w:sz w:val="20"/>
                <w:szCs w:val="20"/>
              </w:rPr>
            </w:pPr>
            <w:r w:rsidRPr="003B4061">
              <w:rPr>
                <w:rFonts w:cs="Arial"/>
                <w:sz w:val="20"/>
                <w:szCs w:val="20"/>
              </w:rPr>
              <w:t>Increase community understanding about biosecurity / responsibilities</w:t>
            </w:r>
          </w:p>
          <w:p w14:paraId="63C7CE58" w14:textId="77777777" w:rsidR="00BC4C2D" w:rsidRPr="003B4061" w:rsidRDefault="00BC4C2D" w:rsidP="00BC4C2D">
            <w:pPr>
              <w:spacing w:before="60" w:after="60"/>
              <w:rPr>
                <w:rFonts w:cs="Arial"/>
                <w:sz w:val="20"/>
                <w:szCs w:val="20"/>
              </w:rPr>
            </w:pPr>
            <w:r w:rsidRPr="003B4061">
              <w:rPr>
                <w:rFonts w:cs="Arial"/>
                <w:sz w:val="20"/>
                <w:szCs w:val="20"/>
              </w:rPr>
              <w:t>On-ground action / incident response</w:t>
            </w:r>
          </w:p>
          <w:p w14:paraId="0343E941" w14:textId="77777777" w:rsidR="00BC4C2D" w:rsidRPr="003B4061" w:rsidRDefault="00BC4C2D" w:rsidP="00BC4C2D">
            <w:pPr>
              <w:spacing w:before="60" w:after="60"/>
              <w:rPr>
                <w:rFonts w:cs="Arial"/>
                <w:sz w:val="20"/>
                <w:szCs w:val="20"/>
              </w:rPr>
            </w:pPr>
            <w:r w:rsidRPr="003B4061">
              <w:rPr>
                <w:rFonts w:cs="Arial"/>
                <w:sz w:val="20"/>
                <w:szCs w:val="20"/>
              </w:rPr>
              <w:t>Find an effective balance of government-community resource allocation to biosecurity</w:t>
            </w:r>
          </w:p>
          <w:p w14:paraId="5F580993" w14:textId="77777777" w:rsidR="00BC4C2D" w:rsidRPr="003B4061" w:rsidRDefault="00BC4C2D" w:rsidP="00BC4C2D">
            <w:pPr>
              <w:spacing w:before="60" w:after="60"/>
              <w:rPr>
                <w:rFonts w:cs="Arial"/>
                <w:sz w:val="20"/>
                <w:szCs w:val="20"/>
              </w:rPr>
            </w:pPr>
            <w:r w:rsidRPr="003B4061">
              <w:rPr>
                <w:rFonts w:cs="Arial"/>
                <w:sz w:val="20"/>
                <w:szCs w:val="20"/>
              </w:rPr>
              <w:t>Collaborative action and data sharing</w:t>
            </w:r>
          </w:p>
          <w:p w14:paraId="4F7437A0" w14:textId="77777777" w:rsidR="00BC4C2D" w:rsidRPr="003B4061" w:rsidRDefault="00BC4C2D" w:rsidP="00BC4C2D">
            <w:pPr>
              <w:spacing w:before="60" w:after="60"/>
              <w:rPr>
                <w:rFonts w:cs="Arial"/>
                <w:sz w:val="20"/>
                <w:szCs w:val="20"/>
              </w:rPr>
            </w:pPr>
            <w:r w:rsidRPr="003B4061">
              <w:rPr>
                <w:rFonts w:cs="Arial"/>
                <w:sz w:val="20"/>
                <w:szCs w:val="20"/>
              </w:rPr>
              <w:t>Long-term sustainability</w:t>
            </w:r>
          </w:p>
          <w:p w14:paraId="3886E332" w14:textId="77777777" w:rsidR="00BC4C2D" w:rsidRPr="003B4061" w:rsidRDefault="00BC4C2D" w:rsidP="00BC4C2D">
            <w:pPr>
              <w:spacing w:before="60" w:after="60"/>
              <w:rPr>
                <w:rFonts w:cs="Arial"/>
                <w:sz w:val="20"/>
                <w:szCs w:val="20"/>
              </w:rPr>
            </w:pPr>
            <w:r w:rsidRPr="003B4061">
              <w:rPr>
                <w:rFonts w:cs="Arial"/>
                <w:sz w:val="20"/>
                <w:szCs w:val="20"/>
              </w:rPr>
              <w:t>Compliance</w:t>
            </w:r>
          </w:p>
        </w:tc>
      </w:tr>
      <w:tr w:rsidR="00BC4C2D" w:rsidRPr="003B4061" w14:paraId="51D7CF96" w14:textId="77777777" w:rsidTr="003B4061">
        <w:tc>
          <w:tcPr>
            <w:tcW w:w="1809" w:type="dxa"/>
          </w:tcPr>
          <w:p w14:paraId="4A061649" w14:textId="77777777" w:rsidR="00BC4C2D" w:rsidRPr="003B4061" w:rsidRDefault="00BC4C2D" w:rsidP="00BC4C2D">
            <w:pPr>
              <w:spacing w:before="60" w:after="60"/>
              <w:rPr>
                <w:rFonts w:cs="Arial"/>
                <w:b/>
                <w:sz w:val="20"/>
                <w:szCs w:val="20"/>
              </w:rPr>
            </w:pPr>
            <w:r w:rsidRPr="003B4061">
              <w:rPr>
                <w:rFonts w:cs="Arial"/>
                <w:b/>
                <w:sz w:val="20"/>
                <w:szCs w:val="20"/>
              </w:rPr>
              <w:t>Factors influencing decisions/ actions</w:t>
            </w:r>
          </w:p>
        </w:tc>
        <w:tc>
          <w:tcPr>
            <w:tcW w:w="4678" w:type="dxa"/>
          </w:tcPr>
          <w:p w14:paraId="6691D52B" w14:textId="77777777" w:rsidR="00BC4C2D" w:rsidRPr="003B4061" w:rsidRDefault="00BC4C2D" w:rsidP="00BC4C2D">
            <w:pPr>
              <w:spacing w:before="60" w:after="60"/>
              <w:rPr>
                <w:rFonts w:cs="Arial"/>
                <w:sz w:val="20"/>
                <w:szCs w:val="20"/>
              </w:rPr>
            </w:pPr>
            <w:r w:rsidRPr="003B4061">
              <w:rPr>
                <w:rFonts w:cs="Arial"/>
                <w:sz w:val="20"/>
                <w:szCs w:val="20"/>
              </w:rPr>
              <w:t>Funding models (A)</w:t>
            </w:r>
          </w:p>
          <w:p w14:paraId="03ABCCFC" w14:textId="77777777" w:rsidR="00BC4C2D" w:rsidRPr="003B4061" w:rsidRDefault="00BC4C2D" w:rsidP="00BC4C2D">
            <w:pPr>
              <w:spacing w:before="60" w:after="60"/>
              <w:rPr>
                <w:rFonts w:cs="Arial"/>
                <w:sz w:val="20"/>
                <w:szCs w:val="20"/>
              </w:rPr>
            </w:pPr>
            <w:r w:rsidRPr="003B4061">
              <w:rPr>
                <w:rFonts w:cs="Arial"/>
                <w:sz w:val="20"/>
                <w:szCs w:val="20"/>
              </w:rPr>
              <w:t>Responsibilities (A, H)</w:t>
            </w:r>
          </w:p>
          <w:p w14:paraId="70E38469" w14:textId="77777777" w:rsidR="00BC4C2D" w:rsidRPr="003B4061" w:rsidRDefault="00BC4C2D" w:rsidP="00BC4C2D">
            <w:pPr>
              <w:spacing w:before="60" w:after="60"/>
              <w:rPr>
                <w:rFonts w:cs="Arial"/>
                <w:sz w:val="20"/>
                <w:szCs w:val="20"/>
              </w:rPr>
            </w:pPr>
            <w:r w:rsidRPr="003B4061">
              <w:rPr>
                <w:rFonts w:cs="Arial"/>
                <w:sz w:val="20"/>
                <w:szCs w:val="20"/>
              </w:rPr>
              <w:t>Level of risk (A, F)</w:t>
            </w:r>
          </w:p>
          <w:p w14:paraId="635B9811" w14:textId="77777777" w:rsidR="00BC4C2D" w:rsidRPr="003B4061" w:rsidRDefault="00BC4C2D" w:rsidP="00BC4C2D">
            <w:pPr>
              <w:spacing w:before="60" w:after="60"/>
              <w:rPr>
                <w:rFonts w:cs="Arial"/>
                <w:sz w:val="20"/>
                <w:szCs w:val="20"/>
              </w:rPr>
            </w:pPr>
            <w:r w:rsidRPr="003B4061">
              <w:rPr>
                <w:rFonts w:cs="Arial"/>
                <w:sz w:val="20"/>
                <w:szCs w:val="20"/>
              </w:rPr>
              <w:t>Food security/safety /external requirements (A, F)</w:t>
            </w:r>
          </w:p>
          <w:p w14:paraId="4BE5C1FB" w14:textId="77777777" w:rsidR="00BC4C2D" w:rsidRPr="003B4061" w:rsidRDefault="00BC4C2D" w:rsidP="00BC4C2D">
            <w:pPr>
              <w:spacing w:before="60" w:after="60"/>
              <w:rPr>
                <w:rFonts w:cs="Arial"/>
                <w:sz w:val="20"/>
                <w:szCs w:val="20"/>
              </w:rPr>
            </w:pPr>
            <w:r w:rsidRPr="003B4061">
              <w:rPr>
                <w:rFonts w:cs="Arial"/>
                <w:sz w:val="20"/>
                <w:szCs w:val="20"/>
              </w:rPr>
              <w:t>Commercial factors (A)</w:t>
            </w:r>
          </w:p>
          <w:p w14:paraId="484F930C" w14:textId="77777777" w:rsidR="00BC4C2D" w:rsidRPr="003B4061" w:rsidRDefault="00BC4C2D" w:rsidP="00BC4C2D">
            <w:pPr>
              <w:spacing w:before="60" w:after="60"/>
              <w:rPr>
                <w:rFonts w:cs="Arial"/>
                <w:sz w:val="20"/>
                <w:szCs w:val="20"/>
              </w:rPr>
            </w:pPr>
            <w:r w:rsidRPr="003B4061">
              <w:rPr>
                <w:rFonts w:cs="Arial"/>
                <w:sz w:val="20"/>
                <w:szCs w:val="20"/>
              </w:rPr>
              <w:t>Long-term sustainability (A)</w:t>
            </w:r>
          </w:p>
          <w:p w14:paraId="2FC91D89" w14:textId="77777777" w:rsidR="00BC4C2D" w:rsidRPr="003B4061" w:rsidRDefault="00BC4C2D" w:rsidP="00BC4C2D">
            <w:pPr>
              <w:spacing w:before="60" w:after="60"/>
              <w:rPr>
                <w:rFonts w:cs="Arial"/>
                <w:sz w:val="20"/>
                <w:szCs w:val="20"/>
              </w:rPr>
            </w:pPr>
            <w:r w:rsidRPr="003B4061">
              <w:rPr>
                <w:rFonts w:cs="Arial"/>
                <w:sz w:val="20"/>
                <w:szCs w:val="20"/>
              </w:rPr>
              <w:t>Cost-effectiveness (A)</w:t>
            </w:r>
          </w:p>
          <w:p w14:paraId="517ED301" w14:textId="77777777" w:rsidR="00BC4C2D" w:rsidRPr="003B4061" w:rsidRDefault="00BC4C2D" w:rsidP="00BC4C2D">
            <w:pPr>
              <w:spacing w:before="60" w:after="60"/>
              <w:rPr>
                <w:rFonts w:cs="Arial"/>
                <w:sz w:val="20"/>
                <w:szCs w:val="20"/>
              </w:rPr>
            </w:pPr>
            <w:r w:rsidRPr="003B4061">
              <w:rPr>
                <w:rFonts w:cs="Arial"/>
                <w:sz w:val="20"/>
                <w:szCs w:val="20"/>
              </w:rPr>
              <w:t>Community buy-in / stakeholder linkages (F, H)</w:t>
            </w:r>
          </w:p>
          <w:p w14:paraId="0971BD16" w14:textId="77777777" w:rsidR="00BC4C2D" w:rsidRPr="003B4061" w:rsidRDefault="00BC4C2D" w:rsidP="00BC4C2D">
            <w:pPr>
              <w:spacing w:before="60" w:after="60"/>
              <w:rPr>
                <w:rFonts w:cs="Arial"/>
                <w:sz w:val="20"/>
                <w:szCs w:val="20"/>
              </w:rPr>
            </w:pPr>
            <w:r w:rsidRPr="003B4061">
              <w:rPr>
                <w:rFonts w:cs="Arial"/>
                <w:sz w:val="20"/>
                <w:szCs w:val="20"/>
              </w:rPr>
              <w:t>Biosecurity status (F)</w:t>
            </w:r>
          </w:p>
          <w:p w14:paraId="6B6FA1CC" w14:textId="77777777" w:rsidR="00BC4C2D" w:rsidRPr="003B4061" w:rsidRDefault="00BC4C2D" w:rsidP="00BC4C2D">
            <w:pPr>
              <w:spacing w:before="60" w:after="60"/>
              <w:rPr>
                <w:rFonts w:cs="Arial"/>
                <w:sz w:val="20"/>
                <w:szCs w:val="20"/>
              </w:rPr>
            </w:pPr>
            <w:r w:rsidRPr="003B4061">
              <w:rPr>
                <w:rFonts w:cs="Arial"/>
                <w:sz w:val="20"/>
                <w:szCs w:val="20"/>
              </w:rPr>
              <w:t>Level of information available to make decisions / past history (F)</w:t>
            </w:r>
          </w:p>
          <w:p w14:paraId="349F00C7" w14:textId="77777777" w:rsidR="00BC4C2D" w:rsidRPr="003B4061" w:rsidRDefault="00BC4C2D" w:rsidP="00BC4C2D">
            <w:pPr>
              <w:spacing w:before="60" w:after="60"/>
              <w:rPr>
                <w:rFonts w:cs="Arial"/>
                <w:sz w:val="20"/>
                <w:szCs w:val="20"/>
              </w:rPr>
            </w:pPr>
            <w:r w:rsidRPr="003B4061">
              <w:rPr>
                <w:rFonts w:cs="Arial"/>
                <w:sz w:val="20"/>
                <w:szCs w:val="20"/>
              </w:rPr>
              <w:t>Level of resources (F, H)</w:t>
            </w:r>
          </w:p>
          <w:p w14:paraId="52ED9AE6" w14:textId="77777777" w:rsidR="00BC4C2D" w:rsidRPr="003B4061" w:rsidRDefault="00BC4C2D" w:rsidP="00BC4C2D">
            <w:pPr>
              <w:spacing w:before="60" w:after="60"/>
              <w:rPr>
                <w:rFonts w:cs="Arial"/>
                <w:sz w:val="20"/>
                <w:szCs w:val="20"/>
              </w:rPr>
            </w:pPr>
            <w:r w:rsidRPr="003B4061">
              <w:rPr>
                <w:rFonts w:cs="Arial"/>
                <w:sz w:val="20"/>
                <w:szCs w:val="20"/>
              </w:rPr>
              <w:t>Awareness levels (H)</w:t>
            </w:r>
          </w:p>
          <w:p w14:paraId="005C43C6" w14:textId="77777777" w:rsidR="00BC4C2D" w:rsidRPr="003B4061" w:rsidRDefault="00BC4C2D" w:rsidP="00BC4C2D">
            <w:pPr>
              <w:spacing w:before="60" w:after="60"/>
              <w:rPr>
                <w:rFonts w:cs="Arial"/>
                <w:sz w:val="20"/>
                <w:szCs w:val="20"/>
              </w:rPr>
            </w:pPr>
            <w:r w:rsidRPr="003B4061">
              <w:rPr>
                <w:rFonts w:cs="Arial"/>
                <w:sz w:val="20"/>
                <w:szCs w:val="20"/>
              </w:rPr>
              <w:t>Diversity of industry (H)</w:t>
            </w:r>
          </w:p>
        </w:tc>
        <w:tc>
          <w:tcPr>
            <w:tcW w:w="3042" w:type="dxa"/>
          </w:tcPr>
          <w:p w14:paraId="6EA0AAB7" w14:textId="77777777" w:rsidR="00BC4C2D" w:rsidRPr="003B4061" w:rsidRDefault="00BC4C2D" w:rsidP="00BC4C2D">
            <w:pPr>
              <w:spacing w:before="60" w:after="60"/>
              <w:rPr>
                <w:rFonts w:cs="Arial"/>
                <w:sz w:val="20"/>
                <w:szCs w:val="20"/>
              </w:rPr>
            </w:pPr>
            <w:r w:rsidRPr="003B4061">
              <w:rPr>
                <w:rFonts w:cs="Arial"/>
                <w:sz w:val="20"/>
                <w:szCs w:val="20"/>
              </w:rPr>
              <w:t>International requirements, national obligations, legislation</w:t>
            </w:r>
          </w:p>
          <w:p w14:paraId="24C219A2" w14:textId="77777777" w:rsidR="00BC4C2D" w:rsidRPr="003B4061" w:rsidRDefault="00BC4C2D" w:rsidP="00BC4C2D">
            <w:pPr>
              <w:spacing w:before="60" w:after="60"/>
              <w:rPr>
                <w:rFonts w:cs="Arial"/>
                <w:sz w:val="20"/>
                <w:szCs w:val="20"/>
              </w:rPr>
            </w:pPr>
            <w:r w:rsidRPr="003B4061">
              <w:rPr>
                <w:rFonts w:cs="Arial"/>
                <w:sz w:val="20"/>
                <w:szCs w:val="20"/>
              </w:rPr>
              <w:t>Available resources / partnerships</w:t>
            </w:r>
          </w:p>
          <w:p w14:paraId="455E13F9" w14:textId="77777777" w:rsidR="00BC4C2D" w:rsidRPr="003B4061" w:rsidRDefault="00BC4C2D" w:rsidP="00BC4C2D">
            <w:pPr>
              <w:spacing w:before="60" w:after="60"/>
              <w:rPr>
                <w:rFonts w:cs="Arial"/>
                <w:sz w:val="20"/>
                <w:szCs w:val="20"/>
              </w:rPr>
            </w:pPr>
            <w:r w:rsidRPr="003B4061">
              <w:rPr>
                <w:rFonts w:cs="Arial"/>
                <w:sz w:val="20"/>
                <w:szCs w:val="20"/>
              </w:rPr>
              <w:t>Priorities – level of risk, economic returns</w:t>
            </w:r>
          </w:p>
          <w:p w14:paraId="4531132B" w14:textId="77777777" w:rsidR="00BC4C2D" w:rsidRPr="003B4061" w:rsidRDefault="00BC4C2D" w:rsidP="00BC4C2D">
            <w:pPr>
              <w:spacing w:before="60" w:after="60"/>
              <w:rPr>
                <w:rFonts w:cs="Arial"/>
                <w:sz w:val="20"/>
                <w:szCs w:val="20"/>
              </w:rPr>
            </w:pPr>
            <w:r w:rsidRPr="003B4061">
              <w:rPr>
                <w:rFonts w:cs="Arial"/>
                <w:sz w:val="20"/>
                <w:szCs w:val="20"/>
              </w:rPr>
              <w:t>Changing environment</w:t>
            </w:r>
          </w:p>
          <w:p w14:paraId="06B93F0D" w14:textId="77777777" w:rsidR="00BC4C2D" w:rsidRPr="003B4061" w:rsidRDefault="00BC4C2D" w:rsidP="00BC4C2D">
            <w:pPr>
              <w:spacing w:before="60" w:after="60"/>
              <w:rPr>
                <w:rFonts w:cs="Arial"/>
                <w:sz w:val="20"/>
                <w:szCs w:val="20"/>
              </w:rPr>
            </w:pPr>
            <w:r w:rsidRPr="003B4061">
              <w:rPr>
                <w:rFonts w:cs="Arial"/>
                <w:sz w:val="20"/>
                <w:szCs w:val="20"/>
              </w:rPr>
              <w:t>Community concerns / industry needs</w:t>
            </w:r>
          </w:p>
        </w:tc>
        <w:tc>
          <w:tcPr>
            <w:tcW w:w="3647" w:type="dxa"/>
          </w:tcPr>
          <w:p w14:paraId="0BB494D1" w14:textId="77777777" w:rsidR="00BC4C2D" w:rsidRPr="003B4061" w:rsidRDefault="00BC4C2D" w:rsidP="00BC4C2D">
            <w:pPr>
              <w:spacing w:before="60" w:after="60"/>
              <w:rPr>
                <w:rFonts w:cs="Arial"/>
                <w:sz w:val="20"/>
                <w:szCs w:val="20"/>
              </w:rPr>
            </w:pPr>
            <w:r w:rsidRPr="003B4061">
              <w:rPr>
                <w:rFonts w:cs="Arial"/>
                <w:sz w:val="20"/>
                <w:szCs w:val="20"/>
              </w:rPr>
              <w:t>Protection of agriculture and environment</w:t>
            </w:r>
          </w:p>
          <w:p w14:paraId="29BDC728" w14:textId="77777777" w:rsidR="00BC4C2D" w:rsidRPr="003B4061" w:rsidRDefault="00BC4C2D" w:rsidP="00BC4C2D">
            <w:pPr>
              <w:spacing w:before="60" w:after="60"/>
              <w:rPr>
                <w:rFonts w:cs="Arial"/>
                <w:sz w:val="20"/>
                <w:szCs w:val="20"/>
              </w:rPr>
            </w:pPr>
            <w:r w:rsidRPr="003B4061">
              <w:rPr>
                <w:rFonts w:cs="Arial"/>
                <w:sz w:val="20"/>
                <w:szCs w:val="20"/>
              </w:rPr>
              <w:t>Concerns, willingness, understanding and/or support of community</w:t>
            </w:r>
          </w:p>
          <w:p w14:paraId="708E09F8" w14:textId="77777777" w:rsidR="00BC4C2D" w:rsidRPr="003B4061" w:rsidRDefault="00BC4C2D" w:rsidP="00BC4C2D">
            <w:pPr>
              <w:spacing w:before="60" w:after="60"/>
              <w:rPr>
                <w:rFonts w:cs="Arial"/>
                <w:sz w:val="20"/>
                <w:szCs w:val="20"/>
              </w:rPr>
            </w:pPr>
            <w:r w:rsidRPr="003B4061">
              <w:rPr>
                <w:rFonts w:cs="Arial"/>
                <w:sz w:val="20"/>
                <w:szCs w:val="20"/>
              </w:rPr>
              <w:t>Policies and procedures</w:t>
            </w:r>
          </w:p>
          <w:p w14:paraId="14215107" w14:textId="77777777" w:rsidR="00BC4C2D" w:rsidRPr="003B4061" w:rsidRDefault="00BC4C2D" w:rsidP="00BC4C2D">
            <w:pPr>
              <w:spacing w:before="60" w:after="60"/>
              <w:rPr>
                <w:rFonts w:cs="Arial"/>
                <w:sz w:val="20"/>
                <w:szCs w:val="20"/>
              </w:rPr>
            </w:pPr>
            <w:r w:rsidRPr="003B4061">
              <w:rPr>
                <w:rFonts w:cs="Arial"/>
                <w:sz w:val="20"/>
                <w:szCs w:val="20"/>
              </w:rPr>
              <w:t>Resources / capacity</w:t>
            </w:r>
          </w:p>
          <w:p w14:paraId="5D2E3C9A" w14:textId="77777777" w:rsidR="00BC4C2D" w:rsidRPr="003B4061" w:rsidRDefault="00BC4C2D" w:rsidP="00BC4C2D">
            <w:pPr>
              <w:spacing w:before="60" w:after="60"/>
              <w:rPr>
                <w:rFonts w:cs="Arial"/>
                <w:sz w:val="20"/>
                <w:szCs w:val="20"/>
              </w:rPr>
            </w:pPr>
            <w:r w:rsidRPr="003B4061">
              <w:rPr>
                <w:rFonts w:cs="Arial"/>
                <w:sz w:val="20"/>
                <w:szCs w:val="20"/>
              </w:rPr>
              <w:t>Funding priorities</w:t>
            </w:r>
          </w:p>
        </w:tc>
      </w:tr>
      <w:tr w:rsidR="00BC4C2D" w:rsidRPr="003B4061" w14:paraId="608903AA" w14:textId="77777777" w:rsidTr="003B4061">
        <w:tc>
          <w:tcPr>
            <w:tcW w:w="1809" w:type="dxa"/>
          </w:tcPr>
          <w:p w14:paraId="5F43A00E" w14:textId="77777777" w:rsidR="00BC4C2D" w:rsidRPr="003B4061" w:rsidRDefault="00BC4C2D" w:rsidP="00BC4C2D">
            <w:pPr>
              <w:spacing w:before="60" w:after="60"/>
              <w:rPr>
                <w:rFonts w:cs="Arial"/>
                <w:b/>
                <w:sz w:val="20"/>
                <w:szCs w:val="20"/>
              </w:rPr>
            </w:pPr>
            <w:r w:rsidRPr="003B4061">
              <w:rPr>
                <w:rFonts w:cs="Arial"/>
                <w:b/>
                <w:sz w:val="20"/>
                <w:szCs w:val="20"/>
              </w:rPr>
              <w:lastRenderedPageBreak/>
              <w:t>Areas that are working well</w:t>
            </w:r>
          </w:p>
        </w:tc>
        <w:tc>
          <w:tcPr>
            <w:tcW w:w="4678" w:type="dxa"/>
          </w:tcPr>
          <w:p w14:paraId="40602EE0" w14:textId="77777777" w:rsidR="00BC4C2D" w:rsidRPr="003B4061" w:rsidRDefault="00BC4C2D" w:rsidP="00BC4C2D">
            <w:pPr>
              <w:spacing w:before="60" w:after="60"/>
              <w:rPr>
                <w:rFonts w:cs="Arial"/>
                <w:sz w:val="20"/>
                <w:szCs w:val="20"/>
              </w:rPr>
            </w:pPr>
            <w:r w:rsidRPr="003B4061">
              <w:rPr>
                <w:rFonts w:cs="Arial"/>
                <w:sz w:val="20"/>
                <w:szCs w:val="20"/>
              </w:rPr>
              <w:t>Perceptions / image (e.g. clean and green) (A)</w:t>
            </w:r>
          </w:p>
          <w:p w14:paraId="44F30F88" w14:textId="77777777" w:rsidR="00BC4C2D" w:rsidRPr="003B4061" w:rsidRDefault="00BC4C2D" w:rsidP="00BC4C2D">
            <w:pPr>
              <w:spacing w:before="60" w:after="60"/>
              <w:rPr>
                <w:rFonts w:cs="Arial"/>
                <w:sz w:val="20"/>
                <w:szCs w:val="20"/>
              </w:rPr>
            </w:pPr>
            <w:r w:rsidRPr="003B4061">
              <w:rPr>
                <w:rFonts w:cs="Arial"/>
                <w:sz w:val="20"/>
                <w:szCs w:val="20"/>
              </w:rPr>
              <w:t>Regulations (A, F, H)</w:t>
            </w:r>
          </w:p>
          <w:p w14:paraId="3BA7AB2C" w14:textId="77777777" w:rsidR="00BC4C2D" w:rsidRPr="003B4061" w:rsidRDefault="00BC4C2D" w:rsidP="00BC4C2D">
            <w:pPr>
              <w:spacing w:before="60" w:after="60"/>
              <w:rPr>
                <w:rFonts w:cs="Arial"/>
                <w:sz w:val="20"/>
                <w:szCs w:val="20"/>
              </w:rPr>
            </w:pPr>
            <w:r w:rsidRPr="003B4061">
              <w:rPr>
                <w:rFonts w:cs="Arial"/>
                <w:sz w:val="20"/>
                <w:szCs w:val="20"/>
              </w:rPr>
              <w:t>Industry/community awareness (A, H); industry acceptance of responsibility (A)</w:t>
            </w:r>
          </w:p>
          <w:p w14:paraId="2A5E9DDD" w14:textId="77777777" w:rsidR="00BC4C2D" w:rsidRPr="003B4061" w:rsidRDefault="00BC4C2D" w:rsidP="00BC4C2D">
            <w:pPr>
              <w:spacing w:before="60" w:after="60"/>
              <w:rPr>
                <w:rFonts w:cs="Arial"/>
                <w:sz w:val="20"/>
                <w:szCs w:val="20"/>
              </w:rPr>
            </w:pPr>
            <w:r w:rsidRPr="003B4061">
              <w:rPr>
                <w:rFonts w:cs="Arial"/>
                <w:sz w:val="20"/>
                <w:szCs w:val="20"/>
              </w:rPr>
              <w:t>Taking advantage of WAs geographic biosecurity advantage (A, F)</w:t>
            </w:r>
          </w:p>
          <w:p w14:paraId="0ADAE9D3" w14:textId="77777777" w:rsidR="00BC4C2D" w:rsidRPr="003B4061" w:rsidRDefault="00BC4C2D" w:rsidP="00BC4C2D">
            <w:pPr>
              <w:spacing w:before="60" w:after="60"/>
              <w:rPr>
                <w:rFonts w:cs="Arial"/>
                <w:sz w:val="20"/>
                <w:szCs w:val="20"/>
              </w:rPr>
            </w:pPr>
            <w:r w:rsidRPr="003B4061">
              <w:rPr>
                <w:rFonts w:cs="Arial"/>
                <w:sz w:val="20"/>
                <w:szCs w:val="20"/>
              </w:rPr>
              <w:t>Capability level re fish health (F)</w:t>
            </w:r>
          </w:p>
          <w:p w14:paraId="0B490285" w14:textId="77777777" w:rsidR="00BC4C2D" w:rsidRPr="003B4061" w:rsidRDefault="00BC4C2D" w:rsidP="00BC4C2D">
            <w:pPr>
              <w:spacing w:before="60" w:after="60"/>
              <w:rPr>
                <w:rFonts w:cs="Arial"/>
                <w:sz w:val="20"/>
                <w:szCs w:val="20"/>
              </w:rPr>
            </w:pPr>
            <w:r w:rsidRPr="003B4061">
              <w:rPr>
                <w:rFonts w:cs="Arial"/>
                <w:sz w:val="20"/>
                <w:szCs w:val="20"/>
              </w:rPr>
              <w:t>Having a common goal (F, H)</w:t>
            </w:r>
          </w:p>
          <w:p w14:paraId="0AF26B02" w14:textId="77777777" w:rsidR="00BC4C2D" w:rsidRPr="003B4061" w:rsidRDefault="00BC4C2D" w:rsidP="00BC4C2D">
            <w:pPr>
              <w:spacing w:before="60" w:after="60"/>
              <w:rPr>
                <w:rFonts w:cs="Arial"/>
                <w:sz w:val="20"/>
                <w:szCs w:val="20"/>
              </w:rPr>
            </w:pPr>
            <w:r w:rsidRPr="003B4061">
              <w:rPr>
                <w:rFonts w:cs="Arial"/>
                <w:sz w:val="20"/>
                <w:szCs w:val="20"/>
              </w:rPr>
              <w:t>Advancements made via collaborative research (F)</w:t>
            </w:r>
          </w:p>
          <w:p w14:paraId="10FFD22B" w14:textId="77777777" w:rsidR="00BC4C2D" w:rsidRPr="003B4061" w:rsidRDefault="00BC4C2D" w:rsidP="00BC4C2D">
            <w:pPr>
              <w:spacing w:before="60" w:after="60"/>
              <w:rPr>
                <w:rFonts w:cs="Arial"/>
                <w:sz w:val="20"/>
                <w:szCs w:val="20"/>
              </w:rPr>
            </w:pPr>
            <w:r w:rsidRPr="003B4061">
              <w:rPr>
                <w:rFonts w:cs="Arial"/>
                <w:sz w:val="20"/>
                <w:szCs w:val="20"/>
              </w:rPr>
              <w:t>Having biosecurity plans / agreed protocols (F)</w:t>
            </w:r>
          </w:p>
          <w:p w14:paraId="412E7611" w14:textId="77777777" w:rsidR="00BC4C2D" w:rsidRPr="003B4061" w:rsidRDefault="00BC4C2D" w:rsidP="00BC4C2D">
            <w:pPr>
              <w:spacing w:before="60" w:after="60"/>
              <w:rPr>
                <w:rFonts w:cs="Arial"/>
                <w:sz w:val="20"/>
                <w:szCs w:val="20"/>
              </w:rPr>
            </w:pPr>
            <w:r w:rsidRPr="003B4061">
              <w:rPr>
                <w:rFonts w:cs="Arial"/>
                <w:sz w:val="20"/>
                <w:szCs w:val="20"/>
              </w:rPr>
              <w:t>Industry-government communication (H)</w:t>
            </w:r>
          </w:p>
          <w:p w14:paraId="2E7437BA" w14:textId="77777777" w:rsidR="00BC4C2D" w:rsidRPr="003B4061" w:rsidRDefault="00BC4C2D" w:rsidP="00BC4C2D">
            <w:pPr>
              <w:spacing w:before="60" w:after="60"/>
              <w:rPr>
                <w:rFonts w:cs="Arial"/>
                <w:sz w:val="20"/>
                <w:szCs w:val="20"/>
              </w:rPr>
            </w:pPr>
            <w:r w:rsidRPr="003B4061">
              <w:rPr>
                <w:rFonts w:cs="Arial"/>
                <w:sz w:val="20"/>
                <w:szCs w:val="20"/>
              </w:rPr>
              <w:t>Pre/border biosecurity (H)</w:t>
            </w:r>
          </w:p>
          <w:p w14:paraId="3B8AB456" w14:textId="77777777" w:rsidR="00BC4C2D" w:rsidRPr="003B4061" w:rsidRDefault="00BC4C2D" w:rsidP="00BC4C2D">
            <w:pPr>
              <w:spacing w:before="60" w:after="60"/>
              <w:rPr>
                <w:rFonts w:cs="Arial"/>
                <w:sz w:val="20"/>
                <w:szCs w:val="20"/>
              </w:rPr>
            </w:pPr>
            <w:r w:rsidRPr="003B4061">
              <w:rPr>
                <w:rFonts w:cs="Arial"/>
                <w:sz w:val="20"/>
                <w:szCs w:val="20"/>
              </w:rPr>
              <w:t>Industry biosecurity mechanisms(H)</w:t>
            </w:r>
          </w:p>
        </w:tc>
        <w:tc>
          <w:tcPr>
            <w:tcW w:w="3042" w:type="dxa"/>
          </w:tcPr>
          <w:p w14:paraId="533511F2" w14:textId="77777777" w:rsidR="00BC4C2D" w:rsidRPr="003B4061" w:rsidRDefault="00BC4C2D" w:rsidP="00BC4C2D">
            <w:pPr>
              <w:spacing w:before="60" w:after="60"/>
              <w:rPr>
                <w:rFonts w:cs="Arial"/>
                <w:sz w:val="20"/>
                <w:szCs w:val="20"/>
              </w:rPr>
            </w:pPr>
            <w:r w:rsidRPr="003B4061">
              <w:rPr>
                <w:rFonts w:cs="Arial"/>
                <w:sz w:val="20"/>
                <w:szCs w:val="20"/>
              </w:rPr>
              <w:t>Working in partnerships</w:t>
            </w:r>
          </w:p>
          <w:p w14:paraId="35FE4E6D" w14:textId="77777777" w:rsidR="00BC4C2D" w:rsidRPr="003B4061" w:rsidRDefault="00BC4C2D" w:rsidP="00BC4C2D">
            <w:pPr>
              <w:spacing w:before="60" w:after="60"/>
              <w:rPr>
                <w:rFonts w:cs="Arial"/>
                <w:sz w:val="20"/>
                <w:szCs w:val="20"/>
              </w:rPr>
            </w:pPr>
            <w:r w:rsidRPr="003B4061">
              <w:rPr>
                <w:rFonts w:cs="Arial"/>
                <w:sz w:val="20"/>
                <w:szCs w:val="20"/>
              </w:rPr>
              <w:t>Community engagement in aquatic biosecurity</w:t>
            </w:r>
          </w:p>
          <w:p w14:paraId="78137972" w14:textId="77777777" w:rsidR="00BC4C2D" w:rsidRPr="003B4061" w:rsidRDefault="00BC4C2D" w:rsidP="00BC4C2D">
            <w:pPr>
              <w:spacing w:before="60" w:after="60"/>
              <w:rPr>
                <w:rFonts w:cs="Arial"/>
                <w:sz w:val="20"/>
                <w:szCs w:val="20"/>
              </w:rPr>
            </w:pPr>
            <w:r w:rsidRPr="003B4061">
              <w:rPr>
                <w:rFonts w:cs="Arial"/>
                <w:sz w:val="20"/>
                <w:szCs w:val="20"/>
              </w:rPr>
              <w:t>Mapping of pests</w:t>
            </w:r>
          </w:p>
          <w:p w14:paraId="1E27000E" w14:textId="77777777" w:rsidR="00BC4C2D" w:rsidRPr="003B4061" w:rsidRDefault="00BC4C2D" w:rsidP="00BC4C2D">
            <w:pPr>
              <w:spacing w:before="60" w:after="60"/>
              <w:rPr>
                <w:rFonts w:cs="Arial"/>
                <w:sz w:val="20"/>
                <w:szCs w:val="20"/>
              </w:rPr>
            </w:pPr>
            <w:r w:rsidRPr="003B4061">
              <w:rPr>
                <w:rFonts w:cs="Arial"/>
                <w:sz w:val="20"/>
                <w:szCs w:val="20"/>
              </w:rPr>
              <w:t>The focus on prevention, early detection and eradication</w:t>
            </w:r>
          </w:p>
          <w:p w14:paraId="5939D34E" w14:textId="77777777" w:rsidR="00BC4C2D" w:rsidRPr="003B4061" w:rsidRDefault="00BC4C2D" w:rsidP="00BC4C2D">
            <w:pPr>
              <w:spacing w:before="60" w:after="60"/>
              <w:rPr>
                <w:rFonts w:cs="Arial"/>
                <w:sz w:val="20"/>
                <w:szCs w:val="20"/>
              </w:rPr>
            </w:pPr>
            <w:r w:rsidRPr="003B4061">
              <w:rPr>
                <w:rFonts w:cs="Arial"/>
                <w:sz w:val="20"/>
                <w:szCs w:val="20"/>
              </w:rPr>
              <w:t>Technology / providing tools for stakeholders</w:t>
            </w:r>
          </w:p>
          <w:p w14:paraId="1A6C3659" w14:textId="77777777" w:rsidR="00BC4C2D" w:rsidRPr="003B4061" w:rsidRDefault="00BC4C2D" w:rsidP="00BC4C2D">
            <w:pPr>
              <w:spacing w:before="60" w:after="60"/>
              <w:rPr>
                <w:rFonts w:cs="Arial"/>
                <w:sz w:val="20"/>
                <w:szCs w:val="20"/>
              </w:rPr>
            </w:pPr>
            <w:r w:rsidRPr="003B4061">
              <w:rPr>
                <w:rFonts w:cs="Arial"/>
                <w:sz w:val="20"/>
                <w:szCs w:val="20"/>
              </w:rPr>
              <w:t>Integration of compliance, research and management functions</w:t>
            </w:r>
          </w:p>
          <w:p w14:paraId="446DB419" w14:textId="77777777" w:rsidR="00BC4C2D" w:rsidRPr="003B4061" w:rsidRDefault="00BC4C2D" w:rsidP="00BC4C2D">
            <w:pPr>
              <w:spacing w:before="60" w:after="60"/>
              <w:rPr>
                <w:rFonts w:cs="Arial"/>
                <w:sz w:val="20"/>
                <w:szCs w:val="20"/>
              </w:rPr>
            </w:pPr>
            <w:r w:rsidRPr="003B4061">
              <w:rPr>
                <w:rFonts w:cs="Arial"/>
                <w:sz w:val="20"/>
                <w:szCs w:val="20"/>
              </w:rPr>
              <w:t>Training and awareness-raising</w:t>
            </w:r>
          </w:p>
        </w:tc>
        <w:tc>
          <w:tcPr>
            <w:tcW w:w="3647" w:type="dxa"/>
          </w:tcPr>
          <w:p w14:paraId="3FA2ECA9" w14:textId="77777777" w:rsidR="00BC4C2D" w:rsidRPr="003B4061" w:rsidRDefault="00BC4C2D" w:rsidP="00BC4C2D">
            <w:pPr>
              <w:spacing w:before="60" w:after="60"/>
              <w:rPr>
                <w:rFonts w:cs="Arial"/>
                <w:sz w:val="20"/>
                <w:szCs w:val="20"/>
              </w:rPr>
            </w:pPr>
            <w:r w:rsidRPr="003B4061">
              <w:rPr>
                <w:rFonts w:cs="Arial"/>
                <w:sz w:val="20"/>
                <w:szCs w:val="20"/>
              </w:rPr>
              <w:t>Dedicate Exec Officers for RBGs</w:t>
            </w:r>
          </w:p>
          <w:p w14:paraId="685DF778" w14:textId="77777777" w:rsidR="00BC4C2D" w:rsidRPr="003B4061" w:rsidRDefault="00BC4C2D" w:rsidP="00BC4C2D">
            <w:pPr>
              <w:spacing w:before="60" w:after="60"/>
              <w:rPr>
                <w:rFonts w:cs="Arial"/>
                <w:sz w:val="20"/>
                <w:szCs w:val="20"/>
              </w:rPr>
            </w:pPr>
            <w:r w:rsidRPr="003B4061">
              <w:rPr>
                <w:rFonts w:cs="Arial"/>
                <w:sz w:val="20"/>
                <w:szCs w:val="20"/>
              </w:rPr>
              <w:t>Industry Funding Schemes</w:t>
            </w:r>
          </w:p>
          <w:p w14:paraId="77EB9BE5" w14:textId="77777777" w:rsidR="00BC4C2D" w:rsidRPr="003B4061" w:rsidRDefault="00BC4C2D" w:rsidP="00BC4C2D">
            <w:pPr>
              <w:spacing w:before="60" w:after="60"/>
              <w:rPr>
                <w:rFonts w:cs="Arial"/>
                <w:sz w:val="20"/>
                <w:szCs w:val="20"/>
              </w:rPr>
            </w:pPr>
            <w:r w:rsidRPr="003B4061">
              <w:rPr>
                <w:rFonts w:cs="Arial"/>
                <w:sz w:val="20"/>
                <w:szCs w:val="20"/>
              </w:rPr>
              <w:t>On ground achievements</w:t>
            </w:r>
          </w:p>
          <w:p w14:paraId="24C89036" w14:textId="77777777" w:rsidR="00BC4C2D" w:rsidRPr="003B4061" w:rsidRDefault="00BC4C2D" w:rsidP="00BC4C2D">
            <w:pPr>
              <w:spacing w:before="60" w:after="60"/>
              <w:rPr>
                <w:rFonts w:cs="Arial"/>
                <w:sz w:val="20"/>
                <w:szCs w:val="20"/>
              </w:rPr>
            </w:pPr>
            <w:r w:rsidRPr="003B4061">
              <w:rPr>
                <w:rFonts w:cs="Arial"/>
                <w:sz w:val="20"/>
                <w:szCs w:val="20"/>
              </w:rPr>
              <w:t>National Landcare funding</w:t>
            </w:r>
          </w:p>
          <w:p w14:paraId="3D513060" w14:textId="77777777" w:rsidR="00BC4C2D" w:rsidRPr="003B4061" w:rsidRDefault="00BC4C2D" w:rsidP="00BC4C2D">
            <w:pPr>
              <w:spacing w:before="60" w:after="60"/>
              <w:rPr>
                <w:rFonts w:cs="Arial"/>
                <w:sz w:val="20"/>
                <w:szCs w:val="20"/>
              </w:rPr>
            </w:pPr>
            <w:r w:rsidRPr="003B4061">
              <w:rPr>
                <w:rFonts w:cs="Arial"/>
                <w:sz w:val="20"/>
                <w:szCs w:val="20"/>
              </w:rPr>
              <w:t>Community engagement process</w:t>
            </w:r>
          </w:p>
          <w:p w14:paraId="6EB994A9" w14:textId="77777777" w:rsidR="00BC4C2D" w:rsidRPr="003B4061" w:rsidRDefault="00BC4C2D" w:rsidP="00BC4C2D">
            <w:pPr>
              <w:spacing w:before="60" w:after="60"/>
              <w:rPr>
                <w:rFonts w:cs="Arial"/>
                <w:sz w:val="20"/>
                <w:szCs w:val="20"/>
              </w:rPr>
            </w:pPr>
            <w:r w:rsidRPr="003B4061">
              <w:rPr>
                <w:rFonts w:cs="Arial"/>
                <w:sz w:val="20"/>
                <w:szCs w:val="20"/>
              </w:rPr>
              <w:t>Matched government funding</w:t>
            </w:r>
          </w:p>
        </w:tc>
      </w:tr>
      <w:tr w:rsidR="00BC4C2D" w:rsidRPr="003B4061" w14:paraId="09E1DAC5" w14:textId="77777777" w:rsidTr="003B4061">
        <w:tc>
          <w:tcPr>
            <w:tcW w:w="1809" w:type="dxa"/>
          </w:tcPr>
          <w:p w14:paraId="035E7CBC" w14:textId="77777777" w:rsidR="00BC4C2D" w:rsidRPr="003B4061" w:rsidRDefault="00BC4C2D" w:rsidP="00BC4C2D">
            <w:pPr>
              <w:spacing w:before="60" w:after="60"/>
              <w:rPr>
                <w:rFonts w:cs="Arial"/>
                <w:b/>
                <w:sz w:val="20"/>
                <w:szCs w:val="20"/>
              </w:rPr>
            </w:pPr>
            <w:r w:rsidRPr="003B4061">
              <w:rPr>
                <w:rFonts w:cs="Arial"/>
                <w:b/>
                <w:sz w:val="20"/>
                <w:szCs w:val="20"/>
              </w:rPr>
              <w:t>Major constraints</w:t>
            </w:r>
          </w:p>
        </w:tc>
        <w:tc>
          <w:tcPr>
            <w:tcW w:w="4678" w:type="dxa"/>
          </w:tcPr>
          <w:p w14:paraId="5AE3E1F5" w14:textId="77777777" w:rsidR="00BC4C2D" w:rsidRPr="003B4061" w:rsidRDefault="00BC4C2D" w:rsidP="00BC4C2D">
            <w:pPr>
              <w:spacing w:before="60" w:after="60"/>
              <w:rPr>
                <w:rFonts w:cs="Arial"/>
                <w:sz w:val="20"/>
                <w:szCs w:val="20"/>
              </w:rPr>
            </w:pPr>
            <w:r w:rsidRPr="003B4061">
              <w:rPr>
                <w:rFonts w:cs="Arial"/>
                <w:sz w:val="20"/>
                <w:szCs w:val="20"/>
              </w:rPr>
              <w:t>Mechanisms for communication/ education/ engagement/ collaboration (A, F, H)</w:t>
            </w:r>
          </w:p>
          <w:p w14:paraId="73604D8A" w14:textId="77777777" w:rsidR="00BC4C2D" w:rsidRPr="003B4061" w:rsidRDefault="00BC4C2D" w:rsidP="00BC4C2D">
            <w:pPr>
              <w:spacing w:before="60" w:after="60"/>
              <w:rPr>
                <w:rFonts w:cs="Arial"/>
                <w:sz w:val="20"/>
                <w:szCs w:val="20"/>
              </w:rPr>
            </w:pPr>
            <w:r w:rsidRPr="003B4061">
              <w:rPr>
                <w:rFonts w:cs="Arial"/>
                <w:sz w:val="20"/>
                <w:szCs w:val="20"/>
              </w:rPr>
              <w:t>Financial costs of compliance (A)</w:t>
            </w:r>
          </w:p>
          <w:p w14:paraId="508BA9A8" w14:textId="77777777" w:rsidR="00BC4C2D" w:rsidRPr="003B4061" w:rsidRDefault="00BC4C2D" w:rsidP="00BC4C2D">
            <w:pPr>
              <w:spacing w:before="60" w:after="60"/>
              <w:rPr>
                <w:rFonts w:cs="Arial"/>
                <w:sz w:val="20"/>
                <w:szCs w:val="20"/>
              </w:rPr>
            </w:pPr>
            <w:r w:rsidRPr="003B4061">
              <w:rPr>
                <w:rFonts w:cs="Arial"/>
                <w:sz w:val="20"/>
                <w:szCs w:val="20"/>
              </w:rPr>
              <w:t>Declining resources (A, F) – unsure of future RDC funding models (H)</w:t>
            </w:r>
          </w:p>
          <w:p w14:paraId="18F87BE8" w14:textId="77777777" w:rsidR="00BC4C2D" w:rsidRPr="003B4061" w:rsidRDefault="00BC4C2D" w:rsidP="00BC4C2D">
            <w:pPr>
              <w:spacing w:before="60" w:after="60"/>
              <w:rPr>
                <w:rFonts w:cs="Arial"/>
                <w:sz w:val="20"/>
                <w:szCs w:val="20"/>
              </w:rPr>
            </w:pPr>
            <w:r w:rsidRPr="003B4061">
              <w:rPr>
                <w:rFonts w:cs="Arial"/>
                <w:sz w:val="20"/>
                <w:szCs w:val="20"/>
              </w:rPr>
              <w:t>No clear, agreed process for identifying ‘public good’ (A, H) or determining the risk (H)</w:t>
            </w:r>
          </w:p>
          <w:p w14:paraId="0FB64003" w14:textId="77777777" w:rsidR="00BC4C2D" w:rsidRPr="003B4061" w:rsidRDefault="00BC4C2D" w:rsidP="00BC4C2D">
            <w:pPr>
              <w:spacing w:before="60" w:after="60"/>
              <w:rPr>
                <w:rFonts w:cs="Arial"/>
                <w:sz w:val="20"/>
                <w:szCs w:val="20"/>
              </w:rPr>
            </w:pPr>
            <w:r w:rsidRPr="003B4061">
              <w:rPr>
                <w:rFonts w:cs="Arial"/>
                <w:sz w:val="20"/>
                <w:szCs w:val="20"/>
              </w:rPr>
              <w:t>Apathy / complacency (A)</w:t>
            </w:r>
          </w:p>
          <w:p w14:paraId="5DC26690" w14:textId="77777777" w:rsidR="00BC4C2D" w:rsidRPr="003B4061" w:rsidRDefault="00BC4C2D" w:rsidP="00BC4C2D">
            <w:pPr>
              <w:spacing w:before="60" w:after="60"/>
              <w:rPr>
                <w:rFonts w:cs="Arial"/>
                <w:sz w:val="20"/>
                <w:szCs w:val="20"/>
              </w:rPr>
            </w:pPr>
            <w:r w:rsidRPr="003B4061">
              <w:rPr>
                <w:rFonts w:cs="Arial"/>
                <w:sz w:val="20"/>
                <w:szCs w:val="20"/>
              </w:rPr>
              <w:t>Limited government interaction / follow-up – poor collaboration on priorities, decision-making (F)</w:t>
            </w:r>
          </w:p>
          <w:p w14:paraId="05E59A5A" w14:textId="77777777" w:rsidR="00BC4C2D" w:rsidRPr="003B4061" w:rsidRDefault="00BC4C2D" w:rsidP="00BC4C2D">
            <w:pPr>
              <w:spacing w:before="60" w:after="60"/>
              <w:rPr>
                <w:rFonts w:cs="Arial"/>
                <w:sz w:val="20"/>
                <w:szCs w:val="20"/>
              </w:rPr>
            </w:pPr>
            <w:r w:rsidRPr="003B4061">
              <w:rPr>
                <w:rFonts w:cs="Arial"/>
                <w:sz w:val="20"/>
                <w:szCs w:val="20"/>
              </w:rPr>
              <w:t>Changing goalposts (F)</w:t>
            </w:r>
          </w:p>
          <w:p w14:paraId="545F21B8" w14:textId="77777777" w:rsidR="00BC4C2D" w:rsidRPr="003B4061" w:rsidRDefault="00BC4C2D" w:rsidP="00BC4C2D">
            <w:pPr>
              <w:spacing w:before="60" w:after="60"/>
              <w:rPr>
                <w:rFonts w:cs="Arial"/>
                <w:sz w:val="20"/>
                <w:szCs w:val="20"/>
              </w:rPr>
            </w:pPr>
            <w:r w:rsidRPr="003B4061">
              <w:rPr>
                <w:rFonts w:cs="Arial"/>
                <w:sz w:val="20"/>
                <w:szCs w:val="20"/>
              </w:rPr>
              <w:t>Limited information to underpin decisions (F, H)</w:t>
            </w:r>
          </w:p>
          <w:p w14:paraId="609D846E" w14:textId="77777777" w:rsidR="00BC4C2D" w:rsidRPr="003B4061" w:rsidRDefault="00BC4C2D" w:rsidP="00BC4C2D">
            <w:pPr>
              <w:spacing w:before="60" w:after="60"/>
              <w:rPr>
                <w:rFonts w:cs="Arial"/>
                <w:sz w:val="20"/>
                <w:szCs w:val="20"/>
              </w:rPr>
            </w:pPr>
            <w:r w:rsidRPr="003B4061">
              <w:rPr>
                <w:rFonts w:cs="Arial"/>
                <w:sz w:val="20"/>
                <w:szCs w:val="20"/>
              </w:rPr>
              <w:t>Geography (F)</w:t>
            </w:r>
          </w:p>
          <w:p w14:paraId="15EE6214" w14:textId="77777777" w:rsidR="00BC4C2D" w:rsidRPr="003B4061" w:rsidRDefault="00BC4C2D" w:rsidP="00BC4C2D">
            <w:pPr>
              <w:spacing w:before="60" w:after="60"/>
              <w:rPr>
                <w:rFonts w:cs="Arial"/>
                <w:sz w:val="20"/>
                <w:szCs w:val="20"/>
              </w:rPr>
            </w:pPr>
            <w:r w:rsidRPr="003B4061">
              <w:rPr>
                <w:rFonts w:cs="Arial"/>
                <w:sz w:val="20"/>
                <w:szCs w:val="20"/>
              </w:rPr>
              <w:t>Cultural diversity of the sector (H)</w:t>
            </w:r>
          </w:p>
        </w:tc>
        <w:tc>
          <w:tcPr>
            <w:tcW w:w="3042" w:type="dxa"/>
          </w:tcPr>
          <w:p w14:paraId="7535653D" w14:textId="77777777" w:rsidR="00BC4C2D" w:rsidRPr="003B4061" w:rsidRDefault="00BC4C2D" w:rsidP="00BC4C2D">
            <w:pPr>
              <w:spacing w:before="60" w:after="60"/>
              <w:rPr>
                <w:rFonts w:cs="Arial"/>
                <w:sz w:val="20"/>
                <w:szCs w:val="20"/>
              </w:rPr>
            </w:pPr>
            <w:r w:rsidRPr="003B4061">
              <w:rPr>
                <w:rFonts w:cs="Arial"/>
                <w:sz w:val="20"/>
                <w:szCs w:val="20"/>
              </w:rPr>
              <w:t>Environmental biosecurity funding mechanisms</w:t>
            </w:r>
          </w:p>
          <w:p w14:paraId="1C79DC69" w14:textId="77777777" w:rsidR="00BC4C2D" w:rsidRPr="003B4061" w:rsidRDefault="00BC4C2D" w:rsidP="00BC4C2D">
            <w:pPr>
              <w:spacing w:before="60" w:after="60"/>
              <w:rPr>
                <w:rFonts w:cs="Arial"/>
                <w:sz w:val="20"/>
                <w:szCs w:val="20"/>
              </w:rPr>
            </w:pPr>
            <w:r w:rsidRPr="003B4061">
              <w:rPr>
                <w:rFonts w:cs="Arial"/>
                <w:sz w:val="20"/>
                <w:szCs w:val="20"/>
              </w:rPr>
              <w:t>Community awareness of threats</w:t>
            </w:r>
          </w:p>
          <w:p w14:paraId="0A095661" w14:textId="77777777" w:rsidR="00BC4C2D" w:rsidRPr="003B4061" w:rsidRDefault="00BC4C2D" w:rsidP="00BC4C2D">
            <w:pPr>
              <w:spacing w:before="60" w:after="60"/>
              <w:rPr>
                <w:rFonts w:cs="Arial"/>
                <w:sz w:val="20"/>
                <w:szCs w:val="20"/>
              </w:rPr>
            </w:pPr>
            <w:r w:rsidRPr="003B4061">
              <w:rPr>
                <w:rFonts w:cs="Arial"/>
                <w:sz w:val="20"/>
                <w:szCs w:val="20"/>
              </w:rPr>
              <w:t>Decreasing resources / capacity</w:t>
            </w:r>
          </w:p>
          <w:p w14:paraId="23437D7D" w14:textId="77777777" w:rsidR="00BC4C2D" w:rsidRPr="003B4061" w:rsidRDefault="00BC4C2D" w:rsidP="00BC4C2D">
            <w:pPr>
              <w:spacing w:before="60" w:after="60"/>
              <w:rPr>
                <w:rFonts w:cs="Arial"/>
                <w:sz w:val="20"/>
                <w:szCs w:val="20"/>
              </w:rPr>
            </w:pPr>
            <w:r w:rsidRPr="003B4061">
              <w:rPr>
                <w:rFonts w:cs="Arial"/>
                <w:sz w:val="20"/>
                <w:szCs w:val="20"/>
              </w:rPr>
              <w:t>No agreement on responsibilities</w:t>
            </w:r>
          </w:p>
          <w:p w14:paraId="6F31EB5D" w14:textId="77777777" w:rsidR="00BC4C2D" w:rsidRPr="003B4061" w:rsidRDefault="00BC4C2D" w:rsidP="00BC4C2D">
            <w:pPr>
              <w:spacing w:before="60" w:after="60"/>
              <w:rPr>
                <w:rFonts w:cs="Arial"/>
                <w:sz w:val="20"/>
                <w:szCs w:val="20"/>
              </w:rPr>
            </w:pPr>
            <w:r w:rsidRPr="003B4061">
              <w:rPr>
                <w:rFonts w:cs="Arial"/>
                <w:sz w:val="20"/>
                <w:szCs w:val="20"/>
              </w:rPr>
              <w:t>Systems for knowledge management</w:t>
            </w:r>
          </w:p>
          <w:p w14:paraId="691F4F83" w14:textId="77777777" w:rsidR="00BC4C2D" w:rsidRPr="003B4061" w:rsidRDefault="00BC4C2D" w:rsidP="00BC4C2D">
            <w:pPr>
              <w:spacing w:before="60" w:after="60"/>
              <w:rPr>
                <w:rFonts w:cs="Arial"/>
                <w:sz w:val="20"/>
                <w:szCs w:val="20"/>
              </w:rPr>
            </w:pPr>
            <w:r w:rsidRPr="003B4061">
              <w:rPr>
                <w:rFonts w:cs="Arial"/>
                <w:sz w:val="20"/>
                <w:szCs w:val="20"/>
              </w:rPr>
              <w:t>Surveillance mechanisms for early detection</w:t>
            </w:r>
          </w:p>
          <w:p w14:paraId="713A30AD" w14:textId="77777777" w:rsidR="00BC4C2D" w:rsidRPr="003B4061" w:rsidRDefault="00BC4C2D" w:rsidP="00BC4C2D">
            <w:pPr>
              <w:spacing w:before="60" w:after="60"/>
              <w:rPr>
                <w:rFonts w:cs="Arial"/>
                <w:sz w:val="20"/>
                <w:szCs w:val="20"/>
              </w:rPr>
            </w:pPr>
            <w:r w:rsidRPr="003B4061">
              <w:rPr>
                <w:rFonts w:cs="Arial"/>
                <w:sz w:val="20"/>
                <w:szCs w:val="20"/>
              </w:rPr>
              <w:t>National/international forecasting</w:t>
            </w:r>
          </w:p>
          <w:p w14:paraId="606A3FC0" w14:textId="77777777" w:rsidR="00BC4C2D" w:rsidRPr="003B4061" w:rsidRDefault="00BC4C2D" w:rsidP="00BC4C2D">
            <w:pPr>
              <w:spacing w:before="60" w:after="60"/>
              <w:rPr>
                <w:rFonts w:cs="Arial"/>
                <w:sz w:val="20"/>
                <w:szCs w:val="20"/>
              </w:rPr>
            </w:pPr>
            <w:r w:rsidRPr="003B4061">
              <w:rPr>
                <w:rFonts w:cs="Arial"/>
                <w:sz w:val="20"/>
                <w:szCs w:val="20"/>
              </w:rPr>
              <w:t>Level of preparedness</w:t>
            </w:r>
          </w:p>
          <w:p w14:paraId="671C9FF5" w14:textId="77777777" w:rsidR="00BC4C2D" w:rsidRPr="003B4061" w:rsidRDefault="00BC4C2D" w:rsidP="00BC4C2D">
            <w:pPr>
              <w:spacing w:before="60" w:after="60"/>
              <w:rPr>
                <w:rFonts w:cs="Arial"/>
                <w:sz w:val="20"/>
                <w:szCs w:val="20"/>
              </w:rPr>
            </w:pPr>
            <w:r w:rsidRPr="003B4061">
              <w:rPr>
                <w:rFonts w:cs="Arial"/>
                <w:sz w:val="20"/>
                <w:szCs w:val="20"/>
              </w:rPr>
              <w:t xml:space="preserve">Inconsistent approaches to </w:t>
            </w:r>
            <w:r w:rsidRPr="003B4061">
              <w:rPr>
                <w:rFonts w:cs="Arial"/>
                <w:sz w:val="20"/>
                <w:szCs w:val="20"/>
              </w:rPr>
              <w:lastRenderedPageBreak/>
              <w:t>prioritising investment</w:t>
            </w:r>
          </w:p>
        </w:tc>
        <w:tc>
          <w:tcPr>
            <w:tcW w:w="3647" w:type="dxa"/>
          </w:tcPr>
          <w:p w14:paraId="503179D5" w14:textId="77777777" w:rsidR="00BC4C2D" w:rsidRPr="003B4061" w:rsidRDefault="00BC4C2D" w:rsidP="00BC4C2D">
            <w:pPr>
              <w:spacing w:before="60" w:after="60"/>
              <w:rPr>
                <w:rFonts w:cs="Arial"/>
                <w:sz w:val="20"/>
                <w:szCs w:val="20"/>
              </w:rPr>
            </w:pPr>
            <w:r w:rsidRPr="003B4061">
              <w:rPr>
                <w:rFonts w:cs="Arial"/>
                <w:sz w:val="20"/>
                <w:szCs w:val="20"/>
              </w:rPr>
              <w:lastRenderedPageBreak/>
              <w:t>Lack of support from LGAs, community</w:t>
            </w:r>
          </w:p>
          <w:p w14:paraId="151BB593" w14:textId="77777777" w:rsidR="00BC4C2D" w:rsidRPr="003B4061" w:rsidRDefault="00BC4C2D" w:rsidP="00BC4C2D">
            <w:pPr>
              <w:spacing w:before="60" w:after="60"/>
              <w:rPr>
                <w:rFonts w:cs="Arial"/>
                <w:sz w:val="20"/>
                <w:szCs w:val="20"/>
              </w:rPr>
            </w:pPr>
            <w:r w:rsidRPr="003B4061">
              <w:rPr>
                <w:rFonts w:cs="Arial"/>
                <w:sz w:val="20"/>
                <w:szCs w:val="20"/>
              </w:rPr>
              <w:t>Environment receiving less attention than agriculture</w:t>
            </w:r>
          </w:p>
          <w:p w14:paraId="63119008" w14:textId="77777777" w:rsidR="00BC4C2D" w:rsidRPr="003B4061" w:rsidRDefault="00BC4C2D" w:rsidP="00BC4C2D">
            <w:pPr>
              <w:spacing w:before="60" w:after="60"/>
              <w:rPr>
                <w:rFonts w:cs="Arial"/>
                <w:sz w:val="20"/>
                <w:szCs w:val="20"/>
              </w:rPr>
            </w:pPr>
            <w:r w:rsidRPr="003B4061">
              <w:rPr>
                <w:rFonts w:cs="Arial"/>
                <w:sz w:val="20"/>
                <w:szCs w:val="20"/>
              </w:rPr>
              <w:t>Narrow scope (in terms of pests/weeds targeted) / there are too many potential areas to address</w:t>
            </w:r>
          </w:p>
          <w:p w14:paraId="33CF759F" w14:textId="77777777" w:rsidR="00BC4C2D" w:rsidRPr="003B4061" w:rsidRDefault="00BC4C2D" w:rsidP="00BC4C2D">
            <w:pPr>
              <w:spacing w:before="60" w:after="60"/>
              <w:rPr>
                <w:rFonts w:cs="Arial"/>
                <w:sz w:val="20"/>
                <w:szCs w:val="20"/>
              </w:rPr>
            </w:pPr>
            <w:r w:rsidRPr="003B4061">
              <w:rPr>
                <w:rFonts w:cs="Arial"/>
                <w:sz w:val="20"/>
                <w:szCs w:val="20"/>
              </w:rPr>
              <w:t>Lack of funding</w:t>
            </w:r>
          </w:p>
          <w:p w14:paraId="38E03220" w14:textId="77777777" w:rsidR="00BC4C2D" w:rsidRPr="003B4061" w:rsidRDefault="00BC4C2D" w:rsidP="00BC4C2D">
            <w:pPr>
              <w:spacing w:before="60" w:after="60"/>
              <w:rPr>
                <w:rFonts w:cs="Arial"/>
                <w:sz w:val="20"/>
                <w:szCs w:val="20"/>
              </w:rPr>
            </w:pPr>
            <w:r w:rsidRPr="003B4061">
              <w:rPr>
                <w:rFonts w:cs="Arial"/>
                <w:sz w:val="20"/>
                <w:szCs w:val="20"/>
              </w:rPr>
              <w:t>Unaware of sources of assistance</w:t>
            </w:r>
          </w:p>
          <w:p w14:paraId="0BEFB58B" w14:textId="77777777" w:rsidR="00BC4C2D" w:rsidRPr="003B4061" w:rsidRDefault="00BC4C2D" w:rsidP="00BC4C2D">
            <w:pPr>
              <w:spacing w:before="60" w:after="60"/>
              <w:rPr>
                <w:rFonts w:cs="Arial"/>
                <w:sz w:val="20"/>
                <w:szCs w:val="20"/>
              </w:rPr>
            </w:pPr>
            <w:r w:rsidRPr="003B4061">
              <w:rPr>
                <w:rFonts w:cs="Arial"/>
                <w:sz w:val="20"/>
                <w:szCs w:val="20"/>
              </w:rPr>
              <w:t>Changing goalposts</w:t>
            </w:r>
          </w:p>
          <w:p w14:paraId="061446A7" w14:textId="77777777" w:rsidR="00BC4C2D" w:rsidRPr="003B4061" w:rsidRDefault="00BC4C2D" w:rsidP="00BC4C2D">
            <w:pPr>
              <w:spacing w:before="60" w:after="60"/>
              <w:rPr>
                <w:rFonts w:cs="Arial"/>
                <w:sz w:val="20"/>
                <w:szCs w:val="20"/>
              </w:rPr>
            </w:pPr>
            <w:r w:rsidRPr="003B4061">
              <w:rPr>
                <w:rFonts w:cs="Arial"/>
                <w:sz w:val="20"/>
                <w:szCs w:val="20"/>
              </w:rPr>
              <w:t>No enforcement of regulations</w:t>
            </w:r>
          </w:p>
          <w:p w14:paraId="52E72E23" w14:textId="77777777" w:rsidR="00BC4C2D" w:rsidRPr="003B4061" w:rsidRDefault="00BC4C2D" w:rsidP="00BC4C2D">
            <w:pPr>
              <w:spacing w:before="60" w:after="60"/>
              <w:rPr>
                <w:rFonts w:cs="Arial"/>
                <w:sz w:val="20"/>
                <w:szCs w:val="20"/>
              </w:rPr>
            </w:pPr>
            <w:r w:rsidRPr="003B4061">
              <w:rPr>
                <w:rFonts w:cs="Arial"/>
                <w:sz w:val="20"/>
                <w:szCs w:val="20"/>
              </w:rPr>
              <w:t>Lack of skills to manage incursion</w:t>
            </w:r>
          </w:p>
        </w:tc>
      </w:tr>
      <w:tr w:rsidR="00BC4C2D" w:rsidRPr="003B4061" w14:paraId="016098BE" w14:textId="77777777" w:rsidTr="003B4061">
        <w:tc>
          <w:tcPr>
            <w:tcW w:w="1809" w:type="dxa"/>
          </w:tcPr>
          <w:p w14:paraId="38927A2E" w14:textId="77777777" w:rsidR="00BC4C2D" w:rsidRPr="003B4061" w:rsidRDefault="00BC4C2D" w:rsidP="00BC4C2D">
            <w:pPr>
              <w:spacing w:before="60" w:after="60"/>
              <w:rPr>
                <w:rFonts w:cs="Arial"/>
                <w:b/>
                <w:sz w:val="20"/>
                <w:szCs w:val="20"/>
              </w:rPr>
            </w:pPr>
            <w:r w:rsidRPr="003B4061">
              <w:rPr>
                <w:rFonts w:cs="Arial"/>
                <w:b/>
                <w:sz w:val="20"/>
                <w:szCs w:val="20"/>
              </w:rPr>
              <w:lastRenderedPageBreak/>
              <w:t>Enablers going forward</w:t>
            </w:r>
          </w:p>
        </w:tc>
        <w:tc>
          <w:tcPr>
            <w:tcW w:w="4678" w:type="dxa"/>
          </w:tcPr>
          <w:p w14:paraId="6665FC8B" w14:textId="77777777" w:rsidR="00BC4C2D" w:rsidRPr="003B4061" w:rsidRDefault="00BC4C2D" w:rsidP="00BC4C2D">
            <w:pPr>
              <w:spacing w:before="60" w:after="60"/>
              <w:rPr>
                <w:rFonts w:cs="Arial"/>
                <w:sz w:val="20"/>
                <w:szCs w:val="20"/>
              </w:rPr>
            </w:pPr>
            <w:r w:rsidRPr="003B4061">
              <w:rPr>
                <w:rFonts w:cs="Arial"/>
                <w:sz w:val="20"/>
                <w:szCs w:val="20"/>
              </w:rPr>
              <w:t>Outsourcing services (if more cost-effective) (A)</w:t>
            </w:r>
          </w:p>
          <w:p w14:paraId="7196456C" w14:textId="77777777" w:rsidR="00BC4C2D" w:rsidRPr="003B4061" w:rsidRDefault="00BC4C2D" w:rsidP="00BC4C2D">
            <w:pPr>
              <w:spacing w:before="60" w:after="60"/>
              <w:rPr>
                <w:rFonts w:cs="Arial"/>
                <w:sz w:val="20"/>
                <w:szCs w:val="20"/>
              </w:rPr>
            </w:pPr>
            <w:r w:rsidRPr="003B4061">
              <w:rPr>
                <w:rFonts w:cs="Arial"/>
                <w:sz w:val="20"/>
                <w:szCs w:val="20"/>
              </w:rPr>
              <w:t>Improved technologies (A)</w:t>
            </w:r>
          </w:p>
          <w:p w14:paraId="2CF233C6" w14:textId="77777777" w:rsidR="00BC4C2D" w:rsidRPr="003B4061" w:rsidRDefault="00BC4C2D" w:rsidP="00BC4C2D">
            <w:pPr>
              <w:spacing w:before="60" w:after="60"/>
              <w:rPr>
                <w:rFonts w:cs="Arial"/>
                <w:sz w:val="20"/>
                <w:szCs w:val="20"/>
              </w:rPr>
            </w:pPr>
            <w:r w:rsidRPr="003B4061">
              <w:rPr>
                <w:rFonts w:cs="Arial"/>
                <w:sz w:val="20"/>
                <w:szCs w:val="20"/>
              </w:rPr>
              <w:t>Better understanding of risk, to help prioritise investment (A)</w:t>
            </w:r>
          </w:p>
          <w:p w14:paraId="62B91037" w14:textId="77777777" w:rsidR="00BC4C2D" w:rsidRPr="003B4061" w:rsidRDefault="00BC4C2D" w:rsidP="00BC4C2D">
            <w:pPr>
              <w:spacing w:before="60" w:after="60"/>
              <w:rPr>
                <w:rFonts w:cs="Arial"/>
                <w:sz w:val="20"/>
                <w:szCs w:val="20"/>
              </w:rPr>
            </w:pPr>
            <w:r w:rsidRPr="003B4061">
              <w:rPr>
                <w:rFonts w:cs="Arial"/>
                <w:sz w:val="20"/>
                <w:szCs w:val="20"/>
              </w:rPr>
              <w:t>Industry support (A)</w:t>
            </w:r>
          </w:p>
          <w:p w14:paraId="70AFED49" w14:textId="77777777" w:rsidR="00BC4C2D" w:rsidRPr="003B4061" w:rsidRDefault="00BC4C2D" w:rsidP="00BC4C2D">
            <w:pPr>
              <w:spacing w:before="60" w:after="60"/>
              <w:rPr>
                <w:rFonts w:cs="Arial"/>
                <w:sz w:val="20"/>
                <w:szCs w:val="20"/>
              </w:rPr>
            </w:pPr>
            <w:r w:rsidRPr="003B4061">
              <w:rPr>
                <w:rFonts w:cs="Arial"/>
                <w:sz w:val="20"/>
                <w:szCs w:val="20"/>
              </w:rPr>
              <w:t>Communication, consultation, collaboration (F, H)</w:t>
            </w:r>
          </w:p>
          <w:p w14:paraId="282F0B86" w14:textId="77777777" w:rsidR="00BC4C2D" w:rsidRPr="003B4061" w:rsidRDefault="00BC4C2D" w:rsidP="00BC4C2D">
            <w:pPr>
              <w:spacing w:before="60" w:after="60"/>
              <w:rPr>
                <w:rFonts w:cs="Arial"/>
                <w:sz w:val="20"/>
                <w:szCs w:val="20"/>
              </w:rPr>
            </w:pPr>
            <w:r w:rsidRPr="003B4061">
              <w:rPr>
                <w:rFonts w:cs="Arial"/>
                <w:sz w:val="20"/>
                <w:szCs w:val="20"/>
              </w:rPr>
              <w:t>Strategic approach (F)</w:t>
            </w:r>
          </w:p>
          <w:p w14:paraId="2FD9CCDA" w14:textId="77777777" w:rsidR="00BC4C2D" w:rsidRPr="003B4061" w:rsidRDefault="00BC4C2D" w:rsidP="00BC4C2D">
            <w:pPr>
              <w:spacing w:before="60" w:after="60"/>
              <w:rPr>
                <w:rFonts w:cs="Arial"/>
                <w:sz w:val="20"/>
                <w:szCs w:val="20"/>
              </w:rPr>
            </w:pPr>
            <w:r w:rsidRPr="003B4061">
              <w:rPr>
                <w:rFonts w:cs="Arial"/>
                <w:sz w:val="20"/>
                <w:szCs w:val="20"/>
              </w:rPr>
              <w:t>Blue sky thinking (F)</w:t>
            </w:r>
          </w:p>
          <w:p w14:paraId="51949160" w14:textId="77777777" w:rsidR="00BC4C2D" w:rsidRPr="003B4061" w:rsidRDefault="00BC4C2D" w:rsidP="00BC4C2D">
            <w:pPr>
              <w:spacing w:before="60" w:after="60"/>
              <w:rPr>
                <w:rFonts w:cs="Arial"/>
                <w:sz w:val="20"/>
                <w:szCs w:val="20"/>
              </w:rPr>
            </w:pPr>
            <w:r w:rsidRPr="003B4061">
              <w:rPr>
                <w:rFonts w:cs="Arial"/>
                <w:sz w:val="20"/>
                <w:szCs w:val="20"/>
              </w:rPr>
              <w:t>Compliance/health resources (F)</w:t>
            </w:r>
          </w:p>
          <w:p w14:paraId="4B99E2F8" w14:textId="77777777" w:rsidR="00BC4C2D" w:rsidRPr="003B4061" w:rsidRDefault="00BC4C2D" w:rsidP="00BC4C2D">
            <w:pPr>
              <w:spacing w:before="60" w:after="60"/>
              <w:rPr>
                <w:rFonts w:cs="Arial"/>
                <w:sz w:val="20"/>
                <w:szCs w:val="20"/>
              </w:rPr>
            </w:pPr>
            <w:r w:rsidRPr="003B4061">
              <w:rPr>
                <w:rFonts w:cs="Arial"/>
                <w:sz w:val="20"/>
                <w:szCs w:val="20"/>
              </w:rPr>
              <w:t>Enhanced post-border biosecurity (H)</w:t>
            </w:r>
          </w:p>
          <w:p w14:paraId="69A52ECA" w14:textId="77777777" w:rsidR="00BC4C2D" w:rsidRPr="003B4061" w:rsidRDefault="00BC4C2D" w:rsidP="00BC4C2D">
            <w:pPr>
              <w:spacing w:before="60" w:after="60"/>
              <w:rPr>
                <w:rFonts w:cs="Arial"/>
                <w:sz w:val="20"/>
                <w:szCs w:val="20"/>
              </w:rPr>
            </w:pPr>
            <w:r w:rsidRPr="003B4061">
              <w:rPr>
                <w:rFonts w:cs="Arial"/>
                <w:sz w:val="20"/>
                <w:szCs w:val="20"/>
              </w:rPr>
              <w:t>WA representation at national level (H)</w:t>
            </w:r>
          </w:p>
        </w:tc>
        <w:tc>
          <w:tcPr>
            <w:tcW w:w="3042" w:type="dxa"/>
          </w:tcPr>
          <w:p w14:paraId="0100EE67" w14:textId="77777777" w:rsidR="00BC4C2D" w:rsidRPr="003B4061" w:rsidRDefault="00BC4C2D" w:rsidP="00BC4C2D">
            <w:pPr>
              <w:spacing w:before="60" w:after="60"/>
              <w:rPr>
                <w:rFonts w:cs="Arial"/>
                <w:sz w:val="20"/>
                <w:szCs w:val="20"/>
              </w:rPr>
            </w:pPr>
            <w:r w:rsidRPr="003B4061">
              <w:rPr>
                <w:rFonts w:cs="Arial"/>
                <w:sz w:val="20"/>
                <w:szCs w:val="20"/>
              </w:rPr>
              <w:t>Legislation</w:t>
            </w:r>
          </w:p>
          <w:p w14:paraId="1BC691EE" w14:textId="77777777" w:rsidR="00BC4C2D" w:rsidRPr="003B4061" w:rsidRDefault="00BC4C2D" w:rsidP="00BC4C2D">
            <w:pPr>
              <w:spacing w:before="60" w:after="60"/>
              <w:rPr>
                <w:rFonts w:cs="Arial"/>
                <w:sz w:val="20"/>
                <w:szCs w:val="20"/>
              </w:rPr>
            </w:pPr>
            <w:r w:rsidRPr="003B4061">
              <w:rPr>
                <w:rFonts w:cs="Arial"/>
                <w:sz w:val="20"/>
                <w:szCs w:val="20"/>
              </w:rPr>
              <w:t>Timing</w:t>
            </w:r>
          </w:p>
          <w:p w14:paraId="2BD906E5" w14:textId="77777777" w:rsidR="00BC4C2D" w:rsidRPr="003B4061" w:rsidRDefault="00BC4C2D" w:rsidP="00BC4C2D">
            <w:pPr>
              <w:spacing w:before="60" w:after="60"/>
              <w:rPr>
                <w:rFonts w:cs="Arial"/>
                <w:sz w:val="20"/>
                <w:szCs w:val="20"/>
              </w:rPr>
            </w:pPr>
            <w:r w:rsidRPr="003B4061">
              <w:rPr>
                <w:rFonts w:cs="Arial"/>
                <w:sz w:val="20"/>
                <w:szCs w:val="20"/>
              </w:rPr>
              <w:t>Increasing awareness / commitment = opportunities (e.g. citizen science, partnerships. engagement)</w:t>
            </w:r>
          </w:p>
          <w:p w14:paraId="3FEA3D58" w14:textId="77777777" w:rsidR="00BC4C2D" w:rsidRPr="003B4061" w:rsidRDefault="00BC4C2D" w:rsidP="00BC4C2D">
            <w:pPr>
              <w:spacing w:before="60" w:after="60"/>
              <w:rPr>
                <w:rFonts w:cs="Arial"/>
                <w:sz w:val="20"/>
                <w:szCs w:val="20"/>
              </w:rPr>
            </w:pPr>
            <w:r w:rsidRPr="003B4061">
              <w:rPr>
                <w:rFonts w:cs="Arial"/>
                <w:sz w:val="20"/>
                <w:szCs w:val="20"/>
              </w:rPr>
              <w:t>Industry investment via legislated mechanisms</w:t>
            </w:r>
          </w:p>
          <w:p w14:paraId="1840395E" w14:textId="77777777" w:rsidR="00BC4C2D" w:rsidRPr="003B4061" w:rsidRDefault="00BC4C2D" w:rsidP="00BC4C2D">
            <w:pPr>
              <w:spacing w:before="60" w:after="60"/>
              <w:rPr>
                <w:rFonts w:cs="Arial"/>
                <w:sz w:val="20"/>
                <w:szCs w:val="20"/>
              </w:rPr>
            </w:pPr>
            <w:r w:rsidRPr="003B4061">
              <w:rPr>
                <w:rFonts w:cs="Arial"/>
                <w:sz w:val="20"/>
                <w:szCs w:val="20"/>
              </w:rPr>
              <w:t>Innovative solutions</w:t>
            </w:r>
          </w:p>
          <w:p w14:paraId="72E58597" w14:textId="77777777" w:rsidR="00BC4C2D" w:rsidRPr="003B4061" w:rsidRDefault="00BC4C2D" w:rsidP="00BC4C2D">
            <w:pPr>
              <w:spacing w:before="60" w:after="60"/>
              <w:rPr>
                <w:rFonts w:cs="Arial"/>
                <w:sz w:val="20"/>
                <w:szCs w:val="20"/>
              </w:rPr>
            </w:pPr>
            <w:r w:rsidRPr="003B4061">
              <w:rPr>
                <w:rFonts w:cs="Arial"/>
                <w:sz w:val="20"/>
                <w:szCs w:val="20"/>
              </w:rPr>
              <w:t>Improved technologies</w:t>
            </w:r>
          </w:p>
          <w:p w14:paraId="6A42E5C4" w14:textId="77777777" w:rsidR="00BC4C2D" w:rsidRPr="003B4061" w:rsidRDefault="00BC4C2D" w:rsidP="00BC4C2D">
            <w:pPr>
              <w:spacing w:before="60" w:after="60"/>
              <w:rPr>
                <w:rFonts w:cs="Arial"/>
                <w:sz w:val="20"/>
                <w:szCs w:val="20"/>
              </w:rPr>
            </w:pPr>
            <w:r w:rsidRPr="003B4061">
              <w:rPr>
                <w:rFonts w:cs="Arial"/>
                <w:sz w:val="20"/>
                <w:szCs w:val="20"/>
              </w:rPr>
              <w:t>Assessment and risk management</w:t>
            </w:r>
          </w:p>
        </w:tc>
        <w:tc>
          <w:tcPr>
            <w:tcW w:w="3647" w:type="dxa"/>
          </w:tcPr>
          <w:p w14:paraId="23759068" w14:textId="77777777" w:rsidR="00BC4C2D" w:rsidRPr="003B4061" w:rsidRDefault="00BC4C2D" w:rsidP="00BC4C2D">
            <w:pPr>
              <w:spacing w:before="60" w:after="60"/>
              <w:rPr>
                <w:rFonts w:cs="Arial"/>
                <w:sz w:val="20"/>
                <w:szCs w:val="20"/>
              </w:rPr>
            </w:pPr>
            <w:r w:rsidRPr="003B4061">
              <w:rPr>
                <w:rFonts w:cs="Arial"/>
                <w:sz w:val="20"/>
                <w:szCs w:val="20"/>
              </w:rPr>
              <w:t>Identify and use support network (e.g. NRM groups, Invasive species CRC)</w:t>
            </w:r>
          </w:p>
          <w:p w14:paraId="7031B773" w14:textId="77777777" w:rsidR="00BC4C2D" w:rsidRPr="003B4061" w:rsidRDefault="00BC4C2D" w:rsidP="00BC4C2D">
            <w:pPr>
              <w:spacing w:before="60" w:after="60"/>
              <w:rPr>
                <w:rFonts w:cs="Arial"/>
                <w:sz w:val="20"/>
                <w:szCs w:val="20"/>
              </w:rPr>
            </w:pPr>
            <w:r w:rsidRPr="003B4061">
              <w:rPr>
                <w:rFonts w:cs="Arial"/>
                <w:sz w:val="20"/>
                <w:szCs w:val="20"/>
              </w:rPr>
              <w:t>Technology for surveillance</w:t>
            </w:r>
          </w:p>
          <w:p w14:paraId="3E57B688" w14:textId="77777777" w:rsidR="00BC4C2D" w:rsidRPr="003B4061" w:rsidRDefault="00BC4C2D" w:rsidP="00BC4C2D">
            <w:pPr>
              <w:spacing w:before="60" w:after="60"/>
              <w:rPr>
                <w:rFonts w:cs="Arial"/>
                <w:sz w:val="20"/>
                <w:szCs w:val="20"/>
              </w:rPr>
            </w:pPr>
            <w:r w:rsidRPr="003B4061">
              <w:rPr>
                <w:rFonts w:cs="Arial"/>
                <w:sz w:val="20"/>
                <w:szCs w:val="20"/>
              </w:rPr>
              <w:t>Recognition of biosecurity groups</w:t>
            </w:r>
          </w:p>
          <w:p w14:paraId="46024DB5" w14:textId="77777777" w:rsidR="00BC4C2D" w:rsidRPr="003B4061" w:rsidRDefault="00BC4C2D" w:rsidP="00BC4C2D">
            <w:pPr>
              <w:spacing w:before="60" w:after="60"/>
              <w:rPr>
                <w:rFonts w:cs="Arial"/>
                <w:sz w:val="20"/>
                <w:szCs w:val="20"/>
              </w:rPr>
            </w:pPr>
            <w:r w:rsidRPr="003B4061">
              <w:rPr>
                <w:rFonts w:cs="Arial"/>
                <w:sz w:val="20"/>
                <w:szCs w:val="20"/>
              </w:rPr>
              <w:t>Increasing recognition of individual responsibility</w:t>
            </w:r>
          </w:p>
          <w:p w14:paraId="616BEB79" w14:textId="77777777" w:rsidR="00BC4C2D" w:rsidRPr="003B4061" w:rsidRDefault="00BC4C2D" w:rsidP="00BC4C2D">
            <w:pPr>
              <w:spacing w:before="60" w:after="60"/>
              <w:rPr>
                <w:rFonts w:cs="Arial"/>
                <w:sz w:val="20"/>
                <w:szCs w:val="20"/>
              </w:rPr>
            </w:pPr>
            <w:r w:rsidRPr="003B4061">
              <w:rPr>
                <w:rFonts w:cs="Arial"/>
                <w:sz w:val="20"/>
                <w:szCs w:val="20"/>
              </w:rPr>
              <w:t>Research and good planning</w:t>
            </w:r>
          </w:p>
          <w:p w14:paraId="04356F2E" w14:textId="77777777" w:rsidR="00BC4C2D" w:rsidRPr="003B4061" w:rsidRDefault="00BC4C2D" w:rsidP="00BC4C2D">
            <w:pPr>
              <w:spacing w:before="60" w:after="60"/>
              <w:rPr>
                <w:rFonts w:cs="Arial"/>
                <w:sz w:val="20"/>
                <w:szCs w:val="20"/>
              </w:rPr>
            </w:pPr>
            <w:r w:rsidRPr="003B4061">
              <w:rPr>
                <w:rFonts w:cs="Arial"/>
                <w:sz w:val="20"/>
                <w:szCs w:val="20"/>
              </w:rPr>
              <w:t>Good community engagement process = increasing community participation /input; improved understanding /support from Shire</w:t>
            </w:r>
          </w:p>
          <w:p w14:paraId="10F6F29C" w14:textId="77777777" w:rsidR="00BC4C2D" w:rsidRPr="003B4061" w:rsidRDefault="00BC4C2D" w:rsidP="00BC4C2D">
            <w:pPr>
              <w:spacing w:before="60" w:after="60"/>
              <w:rPr>
                <w:rFonts w:cs="Arial"/>
                <w:sz w:val="20"/>
                <w:szCs w:val="20"/>
              </w:rPr>
            </w:pPr>
            <w:r w:rsidRPr="003B4061">
              <w:rPr>
                <w:rFonts w:cs="Arial"/>
                <w:sz w:val="20"/>
                <w:szCs w:val="20"/>
              </w:rPr>
              <w:t>Incursion (to prompt action)</w:t>
            </w:r>
          </w:p>
          <w:p w14:paraId="6CC5F54E" w14:textId="77777777" w:rsidR="00BC4C2D" w:rsidRPr="003B4061" w:rsidRDefault="00BC4C2D" w:rsidP="00BC4C2D">
            <w:pPr>
              <w:spacing w:before="60" w:after="60"/>
              <w:rPr>
                <w:rFonts w:cs="Arial"/>
                <w:sz w:val="20"/>
                <w:szCs w:val="20"/>
              </w:rPr>
            </w:pPr>
            <w:r w:rsidRPr="003B4061">
              <w:rPr>
                <w:rFonts w:cs="Arial"/>
                <w:sz w:val="20"/>
                <w:szCs w:val="20"/>
              </w:rPr>
              <w:t>Clean and green reputation</w:t>
            </w:r>
          </w:p>
        </w:tc>
      </w:tr>
    </w:tbl>
    <w:p w14:paraId="5CD3B4E5" w14:textId="2A948FE6" w:rsidR="006A3CF9" w:rsidRPr="008012B9" w:rsidRDefault="00BC4C2D" w:rsidP="006A3CF9">
      <w:pPr>
        <w:spacing w:before="120"/>
        <w:rPr>
          <w:rFonts w:cs="Arial"/>
          <w:sz w:val="24"/>
          <w:szCs w:val="24"/>
        </w:rPr>
      </w:pPr>
      <w:r w:rsidRPr="008012B9">
        <w:rPr>
          <w:rFonts w:cs="Arial"/>
          <w:sz w:val="24"/>
          <w:szCs w:val="24"/>
        </w:rPr>
        <w:t>A = agriculture, apiculture; F = fisheries; H = forestry, nurseries, horticulture</w:t>
      </w:r>
      <w:r w:rsidR="006A3CF9" w:rsidRPr="008012B9">
        <w:rPr>
          <w:rFonts w:cs="Arial"/>
          <w:sz w:val="24"/>
          <w:szCs w:val="24"/>
        </w:rPr>
        <w:br w:type="page"/>
      </w:r>
    </w:p>
    <w:p w14:paraId="3A4CED26" w14:textId="303C86ED" w:rsidR="006A3CF9" w:rsidRPr="000B7410" w:rsidRDefault="006A3CF9" w:rsidP="006A3CF9">
      <w:pPr>
        <w:spacing w:before="120"/>
        <w:rPr>
          <w:b/>
          <w:sz w:val="24"/>
          <w:szCs w:val="24"/>
        </w:rPr>
      </w:pPr>
      <w:r w:rsidRPr="000B7410">
        <w:rPr>
          <w:rFonts w:cs="Arial"/>
          <w:b/>
          <w:sz w:val="24"/>
          <w:szCs w:val="24"/>
        </w:rPr>
        <w:lastRenderedPageBreak/>
        <w:t xml:space="preserve">Table </w:t>
      </w:r>
      <w:r w:rsidR="000B7410" w:rsidRPr="000B7410">
        <w:rPr>
          <w:rFonts w:cs="Arial"/>
          <w:b/>
          <w:sz w:val="24"/>
          <w:szCs w:val="24"/>
        </w:rPr>
        <w:t>A2.2</w:t>
      </w:r>
      <w:r w:rsidRPr="000B7410">
        <w:rPr>
          <w:rFonts w:cs="Arial"/>
          <w:b/>
          <w:sz w:val="24"/>
          <w:szCs w:val="24"/>
        </w:rPr>
        <w:t>.</w:t>
      </w:r>
      <w:r w:rsidRPr="000B7410">
        <w:rPr>
          <w:rFonts w:cs="Arial"/>
          <w:sz w:val="24"/>
          <w:szCs w:val="24"/>
        </w:rPr>
        <w:t xml:space="preserve"> </w:t>
      </w:r>
      <w:r w:rsidRPr="000B7410">
        <w:rPr>
          <w:sz w:val="24"/>
          <w:szCs w:val="24"/>
        </w:rPr>
        <w:t>Insights gained from ‘scenario session’ to explore risk-based decision-making and investment</w:t>
      </w:r>
      <w:r w:rsidR="000B7410">
        <w:rPr>
          <w:sz w:val="24"/>
          <w:szCs w:val="24"/>
        </w:rPr>
        <w:t>.</w:t>
      </w:r>
    </w:p>
    <w:p w14:paraId="0668824E" w14:textId="77777777" w:rsidR="003B4061" w:rsidRPr="00687BCA" w:rsidRDefault="003B4061" w:rsidP="006A3CF9">
      <w:pPr>
        <w:spacing w:before="120"/>
        <w:rPr>
          <w:rFonts w:cs="Arial"/>
          <w:b/>
          <w:szCs w:val="20"/>
        </w:rPr>
      </w:pPr>
    </w:p>
    <w:tbl>
      <w:tblPr>
        <w:tblStyle w:val="TableGrid"/>
        <w:tblW w:w="0" w:type="auto"/>
        <w:tblLook w:val="04A0" w:firstRow="1" w:lastRow="0" w:firstColumn="1" w:lastColumn="0" w:noHBand="0" w:noVBand="1"/>
        <w:tblDescription w:val="Table identifying the insights gained by workshop participants from the five scenario sessions."/>
      </w:tblPr>
      <w:tblGrid>
        <w:gridCol w:w="2635"/>
        <w:gridCol w:w="2718"/>
        <w:gridCol w:w="2552"/>
        <w:gridCol w:w="2635"/>
        <w:gridCol w:w="2636"/>
      </w:tblGrid>
      <w:tr w:rsidR="006A3CF9" w:rsidRPr="003B4061" w14:paraId="04AC3086" w14:textId="77777777" w:rsidTr="003779C7">
        <w:trPr>
          <w:tblHeader/>
        </w:trPr>
        <w:tc>
          <w:tcPr>
            <w:tcW w:w="2635" w:type="dxa"/>
          </w:tcPr>
          <w:p w14:paraId="3432A8D7" w14:textId="77777777" w:rsidR="006A3CF9" w:rsidRPr="003B4061" w:rsidRDefault="006A3CF9" w:rsidP="0082568B">
            <w:pPr>
              <w:spacing w:before="120"/>
              <w:rPr>
                <w:rFonts w:cs="Arial"/>
                <w:b/>
                <w:sz w:val="20"/>
                <w:szCs w:val="20"/>
              </w:rPr>
            </w:pPr>
            <w:r w:rsidRPr="003B4061">
              <w:rPr>
                <w:rFonts w:cs="Arial"/>
                <w:b/>
                <w:sz w:val="20"/>
                <w:szCs w:val="20"/>
              </w:rPr>
              <w:t>Asian Paddle Crabs</w:t>
            </w:r>
          </w:p>
        </w:tc>
        <w:tc>
          <w:tcPr>
            <w:tcW w:w="2718" w:type="dxa"/>
          </w:tcPr>
          <w:p w14:paraId="16841860" w14:textId="77777777" w:rsidR="006A3CF9" w:rsidRPr="003B4061" w:rsidRDefault="006A3CF9" w:rsidP="0082568B">
            <w:pPr>
              <w:spacing w:before="120"/>
              <w:rPr>
                <w:rFonts w:cs="Arial"/>
                <w:b/>
                <w:sz w:val="20"/>
                <w:szCs w:val="20"/>
              </w:rPr>
            </w:pPr>
            <w:r w:rsidRPr="003B4061">
              <w:rPr>
                <w:rFonts w:cs="Arial"/>
                <w:b/>
                <w:i/>
                <w:sz w:val="20"/>
                <w:szCs w:val="20"/>
              </w:rPr>
              <w:t xml:space="preserve">P. </w:t>
            </w:r>
            <w:proofErr w:type="spellStart"/>
            <w:r w:rsidRPr="003B4061">
              <w:rPr>
                <w:rFonts w:cs="Arial"/>
                <w:b/>
                <w:i/>
                <w:sz w:val="20"/>
                <w:szCs w:val="20"/>
              </w:rPr>
              <w:t>cinnamomi</w:t>
            </w:r>
            <w:proofErr w:type="spellEnd"/>
            <w:r w:rsidRPr="003B4061">
              <w:rPr>
                <w:rFonts w:cs="Arial"/>
                <w:b/>
                <w:i/>
                <w:sz w:val="20"/>
                <w:szCs w:val="20"/>
              </w:rPr>
              <w:t xml:space="preserve"> </w:t>
            </w:r>
            <w:r w:rsidRPr="003B4061">
              <w:rPr>
                <w:rFonts w:cs="Arial"/>
                <w:b/>
                <w:sz w:val="20"/>
                <w:szCs w:val="20"/>
              </w:rPr>
              <w:t>(dieback)</w:t>
            </w:r>
          </w:p>
        </w:tc>
        <w:tc>
          <w:tcPr>
            <w:tcW w:w="2552" w:type="dxa"/>
          </w:tcPr>
          <w:p w14:paraId="64A7CD4D" w14:textId="77777777" w:rsidR="006A3CF9" w:rsidRPr="003B4061" w:rsidRDefault="006A3CF9" w:rsidP="0082568B">
            <w:pPr>
              <w:spacing w:before="120"/>
              <w:rPr>
                <w:rFonts w:cs="Arial"/>
                <w:b/>
                <w:sz w:val="20"/>
                <w:szCs w:val="20"/>
              </w:rPr>
            </w:pPr>
            <w:r w:rsidRPr="003B4061">
              <w:rPr>
                <w:rFonts w:cs="Arial"/>
                <w:b/>
                <w:sz w:val="20"/>
                <w:szCs w:val="20"/>
              </w:rPr>
              <w:t>Starlings</w:t>
            </w:r>
          </w:p>
        </w:tc>
        <w:tc>
          <w:tcPr>
            <w:tcW w:w="2635" w:type="dxa"/>
          </w:tcPr>
          <w:p w14:paraId="147BE62E" w14:textId="77777777" w:rsidR="006A3CF9" w:rsidRPr="003B4061" w:rsidRDefault="006A3CF9" w:rsidP="0082568B">
            <w:pPr>
              <w:spacing w:before="120"/>
              <w:rPr>
                <w:rFonts w:cs="Arial"/>
                <w:b/>
                <w:sz w:val="20"/>
                <w:szCs w:val="20"/>
              </w:rPr>
            </w:pPr>
            <w:r w:rsidRPr="003B4061">
              <w:rPr>
                <w:rFonts w:cs="Arial"/>
                <w:b/>
                <w:sz w:val="20"/>
                <w:szCs w:val="20"/>
              </w:rPr>
              <w:t>Queensland fruit fly</w:t>
            </w:r>
          </w:p>
        </w:tc>
        <w:tc>
          <w:tcPr>
            <w:tcW w:w="2636" w:type="dxa"/>
          </w:tcPr>
          <w:p w14:paraId="703A3911" w14:textId="77777777" w:rsidR="006A3CF9" w:rsidRPr="003B4061" w:rsidRDefault="006A3CF9" w:rsidP="0082568B">
            <w:pPr>
              <w:spacing w:before="120"/>
              <w:rPr>
                <w:rFonts w:cs="Arial"/>
                <w:b/>
                <w:sz w:val="20"/>
                <w:szCs w:val="20"/>
              </w:rPr>
            </w:pPr>
            <w:r w:rsidRPr="003B4061">
              <w:rPr>
                <w:rFonts w:cs="Arial"/>
                <w:b/>
                <w:sz w:val="20"/>
                <w:szCs w:val="20"/>
              </w:rPr>
              <w:t>Wild dogs</w:t>
            </w:r>
          </w:p>
        </w:tc>
      </w:tr>
      <w:tr w:rsidR="006A3CF9" w:rsidRPr="003B4061" w14:paraId="0779B185" w14:textId="77777777" w:rsidTr="0082568B">
        <w:tc>
          <w:tcPr>
            <w:tcW w:w="2635" w:type="dxa"/>
          </w:tcPr>
          <w:p w14:paraId="5CCE3502" w14:textId="77777777" w:rsidR="006A3CF9" w:rsidRPr="003B4061" w:rsidRDefault="006A3CF9" w:rsidP="0082568B">
            <w:pPr>
              <w:pStyle w:val="ListParagraph"/>
              <w:numPr>
                <w:ilvl w:val="0"/>
                <w:numId w:val="12"/>
              </w:numPr>
              <w:spacing w:before="120"/>
              <w:ind w:left="142" w:hanging="142"/>
              <w:rPr>
                <w:rFonts w:cs="Arial"/>
                <w:sz w:val="20"/>
                <w:szCs w:val="20"/>
              </w:rPr>
            </w:pPr>
            <w:r w:rsidRPr="003B4061">
              <w:rPr>
                <w:rFonts w:cs="Arial"/>
                <w:sz w:val="20"/>
                <w:szCs w:val="20"/>
              </w:rPr>
              <w:t>Stakeholders engagement is essential — to develop protocols / and so they are aware of protocols (etc.) and kept up-to-date.</w:t>
            </w:r>
          </w:p>
          <w:p w14:paraId="6DD46DA2" w14:textId="77777777" w:rsidR="006A3CF9" w:rsidRPr="003B4061" w:rsidRDefault="006A3CF9" w:rsidP="0082568B">
            <w:pPr>
              <w:pStyle w:val="ListParagraph"/>
              <w:numPr>
                <w:ilvl w:val="0"/>
                <w:numId w:val="12"/>
              </w:numPr>
              <w:spacing w:before="120"/>
              <w:ind w:left="142" w:hanging="142"/>
              <w:rPr>
                <w:rFonts w:cs="Arial"/>
                <w:sz w:val="20"/>
                <w:szCs w:val="20"/>
              </w:rPr>
            </w:pPr>
            <w:r w:rsidRPr="003B4061">
              <w:rPr>
                <w:rFonts w:cs="Arial"/>
                <w:sz w:val="20"/>
                <w:szCs w:val="20"/>
              </w:rPr>
              <w:t>Experience within community may be an asset during response.</w:t>
            </w:r>
          </w:p>
          <w:p w14:paraId="097ECCE0" w14:textId="77777777" w:rsidR="006A3CF9" w:rsidRPr="003B4061" w:rsidRDefault="006A3CF9" w:rsidP="0082568B">
            <w:pPr>
              <w:pStyle w:val="ListParagraph"/>
              <w:numPr>
                <w:ilvl w:val="0"/>
                <w:numId w:val="12"/>
              </w:numPr>
              <w:spacing w:before="120"/>
              <w:ind w:left="142" w:hanging="142"/>
              <w:rPr>
                <w:rFonts w:cs="Arial"/>
                <w:sz w:val="20"/>
                <w:szCs w:val="20"/>
              </w:rPr>
            </w:pPr>
            <w:r w:rsidRPr="003B4061">
              <w:rPr>
                <w:rFonts w:cs="Arial"/>
                <w:sz w:val="20"/>
                <w:szCs w:val="20"/>
              </w:rPr>
              <w:t>An ongoing commitment to education / awareness is required by all – industry, government and community.</w:t>
            </w:r>
          </w:p>
          <w:p w14:paraId="60866BF0" w14:textId="77777777" w:rsidR="006A3CF9" w:rsidRPr="003B4061" w:rsidRDefault="006A3CF9" w:rsidP="0082568B">
            <w:pPr>
              <w:pStyle w:val="ListParagraph"/>
              <w:numPr>
                <w:ilvl w:val="0"/>
                <w:numId w:val="12"/>
              </w:numPr>
              <w:spacing w:before="120"/>
              <w:ind w:left="142" w:hanging="142"/>
              <w:rPr>
                <w:rFonts w:cs="Arial"/>
                <w:sz w:val="20"/>
                <w:szCs w:val="20"/>
              </w:rPr>
            </w:pPr>
            <w:r w:rsidRPr="003B4061">
              <w:rPr>
                <w:rFonts w:cs="Arial"/>
                <w:sz w:val="20"/>
                <w:szCs w:val="20"/>
              </w:rPr>
              <w:t>Cost-sharing agreements between industry and government need to be developed.</w:t>
            </w:r>
          </w:p>
        </w:tc>
        <w:tc>
          <w:tcPr>
            <w:tcW w:w="2718" w:type="dxa"/>
          </w:tcPr>
          <w:p w14:paraId="1FE7C9BB"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Dieback is a very complex problem.</w:t>
            </w:r>
          </w:p>
          <w:p w14:paraId="1A32C1DC"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Community understanding is lacking – more work required here.</w:t>
            </w:r>
          </w:p>
          <w:p w14:paraId="2843CDDF"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Collaboration is very important.</w:t>
            </w:r>
          </w:p>
          <w:p w14:paraId="4C3D9949"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There is no lead agency.</w:t>
            </w:r>
          </w:p>
          <w:p w14:paraId="722E64FA"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Funding sources are needed.</w:t>
            </w:r>
          </w:p>
          <w:p w14:paraId="78E4B464"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Royalties from forest operations could be better allocated.</w:t>
            </w:r>
          </w:p>
          <w:p w14:paraId="78E95DFB" w14:textId="77777777" w:rsidR="006A3CF9" w:rsidRPr="003B4061" w:rsidRDefault="006A3CF9" w:rsidP="0082568B">
            <w:pPr>
              <w:pStyle w:val="ListParagraph"/>
              <w:numPr>
                <w:ilvl w:val="0"/>
                <w:numId w:val="12"/>
              </w:numPr>
              <w:spacing w:before="120"/>
              <w:ind w:left="142" w:hanging="142"/>
              <w:contextualSpacing w:val="0"/>
              <w:rPr>
                <w:rFonts w:cs="Arial"/>
                <w:sz w:val="20"/>
                <w:szCs w:val="20"/>
              </w:rPr>
            </w:pPr>
            <w:r w:rsidRPr="003B4061">
              <w:rPr>
                <w:rFonts w:cs="Arial"/>
                <w:sz w:val="20"/>
                <w:szCs w:val="20"/>
              </w:rPr>
              <w:t>It has been done many times, but nothing changes.</w:t>
            </w:r>
          </w:p>
        </w:tc>
        <w:tc>
          <w:tcPr>
            <w:tcW w:w="2552" w:type="dxa"/>
          </w:tcPr>
          <w:p w14:paraId="2BC7578D"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LHS of curve = IFS; RHS of curve = RBG.</w:t>
            </w:r>
          </w:p>
          <w:p w14:paraId="19768F52"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Leadership is essential in a rapid response</w:t>
            </w:r>
          </w:p>
          <w:p w14:paraId="7465011F"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Technical expertise is essential in rapid response</w:t>
            </w:r>
          </w:p>
          <w:p w14:paraId="61E8F546"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Awareness of the incursion-related policies needs to be improved.</w:t>
            </w:r>
          </w:p>
          <w:p w14:paraId="411677BD"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Need to be proactive – resources, technical expertise, funding.</w:t>
            </w:r>
          </w:p>
        </w:tc>
        <w:tc>
          <w:tcPr>
            <w:tcW w:w="2635" w:type="dxa"/>
          </w:tcPr>
          <w:p w14:paraId="15FC6A6D"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There is no long-term funding vision / strategy — require better / pre-agreed cost-sharing and defined / pre-agreed roles/ responsibilities (there needs to be goodwill between industries).</w:t>
            </w:r>
          </w:p>
          <w:p w14:paraId="0F8B8622"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Policy and procedures are important.</w:t>
            </w:r>
          </w:p>
          <w:p w14:paraId="76A5721B"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Community awareness is required.</w:t>
            </w:r>
          </w:p>
        </w:tc>
        <w:tc>
          <w:tcPr>
            <w:tcW w:w="2636" w:type="dxa"/>
          </w:tcPr>
          <w:p w14:paraId="44177902"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Roles and responsibilities are not clear, and difficult to agree on.</w:t>
            </w:r>
          </w:p>
          <w:p w14:paraId="538A1DAA"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There is a diversity of opinions.</w:t>
            </w:r>
          </w:p>
          <w:p w14:paraId="74A0D7B9"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Enforcing compliance is challenging, which makes response difficult.</w:t>
            </w:r>
          </w:p>
          <w:p w14:paraId="5980D3A9"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The issue is overwhelming / a variable/movable problem.</w:t>
            </w:r>
          </w:p>
          <w:p w14:paraId="3E44D32F"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Inconsistent applications of effort hamper effectiveness of response.</w:t>
            </w:r>
          </w:p>
          <w:p w14:paraId="71669547" w14:textId="77777777" w:rsidR="006A3CF9" w:rsidRPr="003B4061" w:rsidRDefault="006A3CF9" w:rsidP="0082568B">
            <w:pPr>
              <w:numPr>
                <w:ilvl w:val="0"/>
                <w:numId w:val="12"/>
              </w:numPr>
              <w:spacing w:before="120"/>
              <w:ind w:left="142" w:hanging="142"/>
              <w:rPr>
                <w:rFonts w:cs="Arial"/>
                <w:sz w:val="20"/>
                <w:szCs w:val="20"/>
              </w:rPr>
            </w:pPr>
            <w:r w:rsidRPr="003B4061">
              <w:rPr>
                <w:rFonts w:cs="Arial"/>
                <w:sz w:val="20"/>
                <w:szCs w:val="20"/>
              </w:rPr>
              <w:t>Collaboration is needed.</w:t>
            </w:r>
          </w:p>
        </w:tc>
      </w:tr>
    </w:tbl>
    <w:p w14:paraId="7874F7A2" w14:textId="77777777" w:rsidR="006A3CF9" w:rsidRDefault="006A3CF9" w:rsidP="00BC4C2D">
      <w:pPr>
        <w:spacing w:before="120"/>
        <w:rPr>
          <w:rFonts w:cs="Arial"/>
          <w:szCs w:val="20"/>
        </w:rPr>
      </w:pPr>
    </w:p>
    <w:p w14:paraId="70D6DBB7" w14:textId="77777777" w:rsidR="00BC4C2D" w:rsidRDefault="00BC4C2D" w:rsidP="00BC4C2D">
      <w:pPr>
        <w:spacing w:before="120"/>
        <w:rPr>
          <w:rFonts w:cs="Arial"/>
          <w:szCs w:val="20"/>
        </w:rPr>
        <w:sectPr w:rsidR="00BC4C2D" w:rsidSect="006F0E8E">
          <w:headerReference w:type="first" r:id="rId14"/>
          <w:footerReference w:type="first" r:id="rId15"/>
          <w:pgSz w:w="15840" w:h="12240" w:orient="landscape"/>
          <w:pgMar w:top="1440" w:right="1440" w:bottom="1440" w:left="1440" w:header="708" w:footer="708" w:gutter="0"/>
          <w:pgNumType w:start="21"/>
          <w:cols w:space="708"/>
          <w:titlePg/>
          <w:docGrid w:linePitch="360"/>
        </w:sectPr>
      </w:pPr>
    </w:p>
    <w:p w14:paraId="07C66EAA" w14:textId="1A0CD5C9" w:rsidR="00494904" w:rsidRDefault="00494904" w:rsidP="000B7410">
      <w:pPr>
        <w:pStyle w:val="Heading1"/>
        <w:numPr>
          <w:ilvl w:val="0"/>
          <w:numId w:val="0"/>
        </w:numPr>
      </w:pPr>
      <w:bookmarkStart w:id="21" w:name="_Toc433204421"/>
      <w:bookmarkEnd w:id="15"/>
      <w:proofErr w:type="gramStart"/>
      <w:r w:rsidRPr="00820164">
        <w:lastRenderedPageBreak/>
        <w:t xml:space="preserve">Appendix </w:t>
      </w:r>
      <w:r w:rsidR="0019483F">
        <w:t>3</w:t>
      </w:r>
      <w:r w:rsidRPr="00820164">
        <w:t>.</w:t>
      </w:r>
      <w:proofErr w:type="gramEnd"/>
      <w:r w:rsidRPr="00820164">
        <w:t xml:space="preserve">  </w:t>
      </w:r>
      <w:r w:rsidR="003B4061">
        <w:t>Workshop evaluation results</w:t>
      </w:r>
      <w:bookmarkEnd w:id="21"/>
    </w:p>
    <w:p w14:paraId="3695E04F" w14:textId="77777777" w:rsidR="003B4061" w:rsidRPr="000B7410" w:rsidRDefault="0082568B" w:rsidP="0082568B">
      <w:pPr>
        <w:spacing w:before="120"/>
        <w:rPr>
          <w:rFonts w:cs="Arial"/>
          <w:sz w:val="24"/>
          <w:szCs w:val="24"/>
        </w:rPr>
      </w:pPr>
      <w:r w:rsidRPr="000B7410">
        <w:rPr>
          <w:rFonts w:cs="Arial"/>
          <w:sz w:val="24"/>
          <w:szCs w:val="24"/>
        </w:rPr>
        <w:t>In the week following the workshop, participants were invited to complete an online questionnaire to evaluate the success of the workshop at achieving its anticipated outcomes. A total of 21 people (68%) responded (11 from industry and five each from government and community).</w:t>
      </w:r>
    </w:p>
    <w:p w14:paraId="50286249" w14:textId="1DD99346" w:rsidR="0082568B" w:rsidRPr="000B7410" w:rsidRDefault="0082568B" w:rsidP="0082568B">
      <w:pPr>
        <w:spacing w:before="120"/>
        <w:rPr>
          <w:rFonts w:cs="Arial"/>
          <w:b/>
          <w:sz w:val="24"/>
          <w:szCs w:val="24"/>
        </w:rPr>
      </w:pPr>
      <w:r w:rsidRPr="000B7410">
        <w:rPr>
          <w:rFonts w:cs="Arial"/>
          <w:b/>
          <w:sz w:val="24"/>
          <w:szCs w:val="24"/>
        </w:rPr>
        <w:t xml:space="preserve">Table </w:t>
      </w:r>
      <w:r w:rsidR="00013D3E" w:rsidRPr="000B7410">
        <w:rPr>
          <w:rFonts w:cs="Arial"/>
          <w:b/>
          <w:sz w:val="24"/>
          <w:szCs w:val="24"/>
        </w:rPr>
        <w:t>A3.1</w:t>
      </w:r>
      <w:r w:rsidR="003B4061" w:rsidRPr="000B7410">
        <w:rPr>
          <w:rFonts w:cs="Arial"/>
          <w:b/>
          <w:sz w:val="24"/>
          <w:szCs w:val="24"/>
        </w:rPr>
        <w:t>. Quantitative survey responses</w:t>
      </w:r>
    </w:p>
    <w:tbl>
      <w:tblPr>
        <w:tblStyle w:val="TableGrid"/>
        <w:tblW w:w="9464" w:type="dxa"/>
        <w:tblLook w:val="04A0" w:firstRow="1" w:lastRow="0" w:firstColumn="1" w:lastColumn="0" w:noHBand="0" w:noVBand="1"/>
        <w:tblDescription w:val="Workshop evaluation questions and responses"/>
      </w:tblPr>
      <w:tblGrid>
        <w:gridCol w:w="7338"/>
        <w:gridCol w:w="1063"/>
        <w:gridCol w:w="1063"/>
      </w:tblGrid>
      <w:tr w:rsidR="003B4061" w:rsidRPr="000B7410" w14:paraId="0B0DAC3E" w14:textId="77777777" w:rsidTr="003779C7">
        <w:trPr>
          <w:tblHeader/>
        </w:trPr>
        <w:tc>
          <w:tcPr>
            <w:tcW w:w="7338" w:type="dxa"/>
          </w:tcPr>
          <w:p w14:paraId="384F7345" w14:textId="77777777" w:rsidR="003B4061" w:rsidRPr="000B7410" w:rsidRDefault="003B4061" w:rsidP="0082568B">
            <w:pPr>
              <w:spacing w:before="60" w:after="60"/>
              <w:rPr>
                <w:rFonts w:cs="Arial"/>
                <w:b/>
              </w:rPr>
            </w:pPr>
            <w:r w:rsidRPr="000B7410">
              <w:rPr>
                <w:rFonts w:cs="Arial"/>
                <w:b/>
              </w:rPr>
              <w:t>Question</w:t>
            </w:r>
          </w:p>
        </w:tc>
        <w:tc>
          <w:tcPr>
            <w:tcW w:w="1063" w:type="dxa"/>
          </w:tcPr>
          <w:p w14:paraId="0EA2955A" w14:textId="77777777" w:rsidR="003B4061" w:rsidRPr="000B7410" w:rsidRDefault="003B4061" w:rsidP="003B4061">
            <w:pPr>
              <w:spacing w:before="60" w:after="60"/>
              <w:jc w:val="center"/>
              <w:rPr>
                <w:rFonts w:cs="Arial"/>
                <w:b/>
              </w:rPr>
            </w:pPr>
            <w:r w:rsidRPr="000B7410">
              <w:rPr>
                <w:rFonts w:cs="Arial"/>
                <w:b/>
              </w:rPr>
              <w:t>Mode</w:t>
            </w:r>
          </w:p>
        </w:tc>
        <w:tc>
          <w:tcPr>
            <w:tcW w:w="1063" w:type="dxa"/>
          </w:tcPr>
          <w:p w14:paraId="0E4869C0" w14:textId="6AF55B69" w:rsidR="003B4061" w:rsidRPr="000B7410" w:rsidRDefault="003B4061" w:rsidP="003B4061">
            <w:pPr>
              <w:spacing w:before="60" w:after="60"/>
              <w:jc w:val="center"/>
              <w:rPr>
                <w:rFonts w:cs="Arial"/>
                <w:b/>
              </w:rPr>
            </w:pPr>
            <w:r w:rsidRPr="000B7410">
              <w:rPr>
                <w:rFonts w:cs="Arial"/>
                <w:b/>
              </w:rPr>
              <w:t>Mean*</w:t>
            </w:r>
          </w:p>
        </w:tc>
      </w:tr>
      <w:tr w:rsidR="003B4061" w:rsidRPr="000B7410" w14:paraId="4148E834" w14:textId="77777777" w:rsidTr="003B4061">
        <w:tc>
          <w:tcPr>
            <w:tcW w:w="7338" w:type="dxa"/>
          </w:tcPr>
          <w:p w14:paraId="2695708F" w14:textId="77777777" w:rsidR="003B4061" w:rsidRPr="000B7410" w:rsidRDefault="003B4061" w:rsidP="0082568B">
            <w:pPr>
              <w:spacing w:before="60" w:after="60"/>
              <w:rPr>
                <w:rFonts w:cs="Arial"/>
              </w:rPr>
            </w:pPr>
            <w:r w:rsidRPr="000B7410">
              <w:rPr>
                <w:rFonts w:eastAsia="Times New Roman" w:cs="Arial"/>
                <w:bCs/>
                <w:lang w:eastAsia="en-AU"/>
              </w:rPr>
              <w:t>The Biosecurity Council’s stakeholder workshop improved my understanding of how the ‘generalised invasion curve’ can guide decisions on shared effort to address biosecurity threats.</w:t>
            </w:r>
          </w:p>
        </w:tc>
        <w:tc>
          <w:tcPr>
            <w:tcW w:w="1063" w:type="dxa"/>
          </w:tcPr>
          <w:p w14:paraId="3B9B38A7"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4CD9240D" w14:textId="77777777" w:rsidR="003B4061" w:rsidRPr="000B7410" w:rsidRDefault="003B4061" w:rsidP="003B4061">
            <w:pPr>
              <w:spacing w:before="60" w:after="60"/>
              <w:jc w:val="center"/>
              <w:rPr>
                <w:rFonts w:cs="Arial"/>
              </w:rPr>
            </w:pPr>
            <w:r w:rsidRPr="000B7410">
              <w:rPr>
                <w:rFonts w:cs="Arial"/>
              </w:rPr>
              <w:t>4.8</w:t>
            </w:r>
          </w:p>
        </w:tc>
      </w:tr>
      <w:tr w:rsidR="003B4061" w:rsidRPr="000B7410" w14:paraId="5D5C42C6" w14:textId="77777777" w:rsidTr="003B4061">
        <w:tc>
          <w:tcPr>
            <w:tcW w:w="7338" w:type="dxa"/>
          </w:tcPr>
          <w:p w14:paraId="2500F8CC" w14:textId="77777777" w:rsidR="003B4061" w:rsidRPr="000B7410" w:rsidRDefault="003B4061" w:rsidP="0082568B">
            <w:pPr>
              <w:spacing w:before="60" w:after="60"/>
              <w:rPr>
                <w:rFonts w:cs="Arial"/>
              </w:rPr>
            </w:pPr>
            <w:r w:rsidRPr="000B7410">
              <w:rPr>
                <w:rFonts w:eastAsia="Times New Roman" w:cs="Arial"/>
                <w:bCs/>
                <w:lang w:eastAsia="en-AU"/>
              </w:rPr>
              <w:t>The Biosecurity Council’s stakeholder workshop improved my understanding of where government will prioritise its biosecurity efforts</w:t>
            </w:r>
          </w:p>
        </w:tc>
        <w:tc>
          <w:tcPr>
            <w:tcW w:w="1063" w:type="dxa"/>
          </w:tcPr>
          <w:p w14:paraId="33221319"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3D4363E6" w14:textId="77777777" w:rsidR="003B4061" w:rsidRPr="000B7410" w:rsidRDefault="003B4061" w:rsidP="003B4061">
            <w:pPr>
              <w:spacing w:before="60" w:after="60"/>
              <w:jc w:val="center"/>
              <w:rPr>
                <w:rFonts w:cs="Arial"/>
              </w:rPr>
            </w:pPr>
            <w:r w:rsidRPr="000B7410">
              <w:rPr>
                <w:rFonts w:cs="Arial"/>
              </w:rPr>
              <w:t>4.8</w:t>
            </w:r>
          </w:p>
        </w:tc>
      </w:tr>
      <w:tr w:rsidR="003B4061" w:rsidRPr="000B7410" w14:paraId="34A86C66" w14:textId="77777777" w:rsidTr="003B4061">
        <w:tc>
          <w:tcPr>
            <w:tcW w:w="7338" w:type="dxa"/>
          </w:tcPr>
          <w:p w14:paraId="377A8610" w14:textId="77777777" w:rsidR="003B4061" w:rsidRPr="000B7410" w:rsidRDefault="003B4061" w:rsidP="0082568B">
            <w:pPr>
              <w:spacing w:before="60" w:after="60"/>
              <w:rPr>
                <w:rFonts w:cs="Arial"/>
              </w:rPr>
            </w:pPr>
            <w:r w:rsidRPr="000B7410">
              <w:rPr>
                <w:rFonts w:eastAsia="Times New Roman" w:cs="Arial"/>
                <w:bCs/>
                <w:lang w:eastAsia="en-AU"/>
              </w:rPr>
              <w:t>The Biosecurity Council’s stakeholder workshop improved my understanding of how industry, government and community sectors can cooperate in biosecurity decision-making and joint effort.</w:t>
            </w:r>
          </w:p>
        </w:tc>
        <w:tc>
          <w:tcPr>
            <w:tcW w:w="1063" w:type="dxa"/>
          </w:tcPr>
          <w:p w14:paraId="316D0E5E" w14:textId="77777777" w:rsidR="003B4061" w:rsidRPr="000B7410" w:rsidRDefault="003B4061" w:rsidP="003B4061">
            <w:pPr>
              <w:spacing w:before="60" w:after="60"/>
              <w:jc w:val="center"/>
              <w:rPr>
                <w:rFonts w:cs="Arial"/>
              </w:rPr>
            </w:pPr>
            <w:r w:rsidRPr="000B7410">
              <w:rPr>
                <w:rFonts w:cs="Arial"/>
              </w:rPr>
              <w:t>5</w:t>
            </w:r>
          </w:p>
        </w:tc>
        <w:tc>
          <w:tcPr>
            <w:tcW w:w="1063" w:type="dxa"/>
          </w:tcPr>
          <w:p w14:paraId="3FCCF38E" w14:textId="77777777" w:rsidR="003B4061" w:rsidRPr="000B7410" w:rsidRDefault="003B4061" w:rsidP="003B4061">
            <w:pPr>
              <w:spacing w:before="60" w:after="60"/>
              <w:jc w:val="center"/>
              <w:rPr>
                <w:rFonts w:cs="Arial"/>
              </w:rPr>
            </w:pPr>
            <w:r w:rsidRPr="000B7410">
              <w:rPr>
                <w:rFonts w:cs="Arial"/>
              </w:rPr>
              <w:t>4.5</w:t>
            </w:r>
          </w:p>
        </w:tc>
      </w:tr>
      <w:tr w:rsidR="003B4061" w:rsidRPr="000B7410" w14:paraId="6E3687F4" w14:textId="77777777" w:rsidTr="003B4061">
        <w:tc>
          <w:tcPr>
            <w:tcW w:w="7338" w:type="dxa"/>
          </w:tcPr>
          <w:p w14:paraId="3C53486A" w14:textId="77777777" w:rsidR="003B4061" w:rsidRPr="000B7410" w:rsidRDefault="003B4061" w:rsidP="0082568B">
            <w:pPr>
              <w:spacing w:before="60" w:after="60"/>
              <w:rPr>
                <w:rFonts w:cs="Arial"/>
              </w:rPr>
            </w:pPr>
            <w:r w:rsidRPr="000B7410">
              <w:rPr>
                <w:rFonts w:eastAsia="Times New Roman" w:cs="Arial"/>
                <w:bCs/>
                <w:lang w:eastAsia="en-AU"/>
              </w:rPr>
              <w:t>I had sufficient opportunity to contribute my views, in relation to the drivers and constraints for my sectors’ (i.e. industry, community or government) action on biosecurity</w:t>
            </w:r>
          </w:p>
        </w:tc>
        <w:tc>
          <w:tcPr>
            <w:tcW w:w="1063" w:type="dxa"/>
          </w:tcPr>
          <w:p w14:paraId="4BB0087A"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3B42013E" w14:textId="77777777" w:rsidR="003B4061" w:rsidRPr="000B7410" w:rsidRDefault="003B4061" w:rsidP="003B4061">
            <w:pPr>
              <w:spacing w:before="60" w:after="60"/>
              <w:jc w:val="center"/>
              <w:rPr>
                <w:rFonts w:cs="Arial"/>
              </w:rPr>
            </w:pPr>
            <w:r w:rsidRPr="000B7410">
              <w:rPr>
                <w:rFonts w:cs="Arial"/>
              </w:rPr>
              <w:t>5.4</w:t>
            </w:r>
          </w:p>
        </w:tc>
      </w:tr>
      <w:tr w:rsidR="003B4061" w:rsidRPr="000B7410" w14:paraId="5A2F03DE" w14:textId="77777777" w:rsidTr="003B4061">
        <w:tc>
          <w:tcPr>
            <w:tcW w:w="7338" w:type="dxa"/>
          </w:tcPr>
          <w:p w14:paraId="3D0A9314" w14:textId="77777777" w:rsidR="003B4061" w:rsidRPr="000B7410" w:rsidRDefault="003B4061" w:rsidP="0082568B">
            <w:pPr>
              <w:spacing w:before="60" w:after="60"/>
              <w:rPr>
                <w:rFonts w:cs="Arial"/>
              </w:rPr>
            </w:pPr>
            <w:r w:rsidRPr="000B7410">
              <w:rPr>
                <w:rFonts w:eastAsia="Times New Roman" w:cs="Arial"/>
                <w:bCs/>
                <w:lang w:eastAsia="en-AU"/>
              </w:rPr>
              <w:t>I had sufficient opportunity to contribute my views, in relation to how effort might be balanced across biosecurity threats.</w:t>
            </w:r>
          </w:p>
        </w:tc>
        <w:tc>
          <w:tcPr>
            <w:tcW w:w="1063" w:type="dxa"/>
          </w:tcPr>
          <w:p w14:paraId="3030FC43"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624A5F18" w14:textId="77777777" w:rsidR="003B4061" w:rsidRPr="000B7410" w:rsidRDefault="003B4061" w:rsidP="003B4061">
            <w:pPr>
              <w:spacing w:before="60" w:after="60"/>
              <w:jc w:val="center"/>
              <w:rPr>
                <w:rFonts w:cs="Arial"/>
              </w:rPr>
            </w:pPr>
            <w:r w:rsidRPr="000B7410">
              <w:rPr>
                <w:rFonts w:cs="Arial"/>
              </w:rPr>
              <w:t>5.0</w:t>
            </w:r>
          </w:p>
        </w:tc>
      </w:tr>
      <w:tr w:rsidR="003B4061" w:rsidRPr="000B7410" w14:paraId="11A83986" w14:textId="77777777" w:rsidTr="003B4061">
        <w:tc>
          <w:tcPr>
            <w:tcW w:w="7338" w:type="dxa"/>
          </w:tcPr>
          <w:p w14:paraId="58B447EB" w14:textId="77777777" w:rsidR="003B4061" w:rsidRPr="000B7410" w:rsidRDefault="003B4061" w:rsidP="0082568B">
            <w:pPr>
              <w:spacing w:before="60" w:after="60"/>
              <w:rPr>
                <w:rFonts w:cs="Arial"/>
              </w:rPr>
            </w:pPr>
            <w:r w:rsidRPr="000B7410">
              <w:rPr>
                <w:rFonts w:eastAsia="Times New Roman" w:cs="Arial"/>
                <w:bCs/>
                <w:lang w:eastAsia="en-AU"/>
              </w:rPr>
              <w:t>I had sufficient opportunity to contribute my views, in relation to how effort might be balanced across sectors</w:t>
            </w:r>
          </w:p>
        </w:tc>
        <w:tc>
          <w:tcPr>
            <w:tcW w:w="1063" w:type="dxa"/>
          </w:tcPr>
          <w:p w14:paraId="57BC961F"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78D800EB" w14:textId="77777777" w:rsidR="003B4061" w:rsidRPr="000B7410" w:rsidRDefault="003B4061" w:rsidP="003B4061">
            <w:pPr>
              <w:spacing w:before="60" w:after="60"/>
              <w:jc w:val="center"/>
              <w:rPr>
                <w:rFonts w:cs="Arial"/>
              </w:rPr>
            </w:pPr>
            <w:r w:rsidRPr="000B7410">
              <w:rPr>
                <w:rFonts w:cs="Arial"/>
              </w:rPr>
              <w:t>5.0</w:t>
            </w:r>
          </w:p>
        </w:tc>
      </w:tr>
      <w:tr w:rsidR="003B4061" w:rsidRPr="000B7410" w14:paraId="38D7DEE7" w14:textId="77777777" w:rsidTr="003B4061">
        <w:tc>
          <w:tcPr>
            <w:tcW w:w="7338" w:type="dxa"/>
          </w:tcPr>
          <w:p w14:paraId="7DB390C8" w14:textId="77777777" w:rsidR="003B4061" w:rsidRPr="000B7410" w:rsidRDefault="003B4061" w:rsidP="0082568B">
            <w:pPr>
              <w:spacing w:before="60" w:after="60"/>
              <w:rPr>
                <w:rFonts w:eastAsia="Times New Roman" w:cs="Arial"/>
                <w:bCs/>
                <w:lang w:eastAsia="en-AU"/>
              </w:rPr>
            </w:pPr>
            <w:r w:rsidRPr="000B7410">
              <w:rPr>
                <w:rFonts w:eastAsia="Times New Roman" w:cs="Arial"/>
                <w:bCs/>
                <w:lang w:eastAsia="en-AU"/>
              </w:rPr>
              <w:t>The workshop enabled a good balance of views across industry, community and government sectors</w:t>
            </w:r>
          </w:p>
        </w:tc>
        <w:tc>
          <w:tcPr>
            <w:tcW w:w="1063" w:type="dxa"/>
          </w:tcPr>
          <w:p w14:paraId="1010B8A3" w14:textId="77777777" w:rsidR="003B4061" w:rsidRPr="000B7410" w:rsidRDefault="003B4061" w:rsidP="003B4061">
            <w:pPr>
              <w:spacing w:before="60" w:after="60"/>
              <w:jc w:val="center"/>
              <w:rPr>
                <w:rFonts w:cs="Arial"/>
              </w:rPr>
            </w:pPr>
            <w:r w:rsidRPr="000B7410">
              <w:rPr>
                <w:rFonts w:cs="Arial"/>
              </w:rPr>
              <w:t>6</w:t>
            </w:r>
          </w:p>
        </w:tc>
        <w:tc>
          <w:tcPr>
            <w:tcW w:w="1063" w:type="dxa"/>
          </w:tcPr>
          <w:p w14:paraId="6C880294" w14:textId="77777777" w:rsidR="003B4061" w:rsidRPr="000B7410" w:rsidRDefault="003B4061" w:rsidP="003B4061">
            <w:pPr>
              <w:spacing w:before="60" w:after="60"/>
              <w:jc w:val="center"/>
              <w:rPr>
                <w:rFonts w:cs="Arial"/>
              </w:rPr>
            </w:pPr>
            <w:r w:rsidRPr="000B7410">
              <w:rPr>
                <w:rFonts w:cs="Arial"/>
              </w:rPr>
              <w:t>5.0</w:t>
            </w:r>
          </w:p>
        </w:tc>
      </w:tr>
    </w:tbl>
    <w:p w14:paraId="4C8F166A" w14:textId="61C0C2E1" w:rsidR="0082568B" w:rsidRPr="000B7410" w:rsidRDefault="003B4061" w:rsidP="003B4061">
      <w:pPr>
        <w:pStyle w:val="ListParagraph"/>
        <w:spacing w:before="120"/>
        <w:ind w:left="1080"/>
        <w:rPr>
          <w:rFonts w:cs="Arial"/>
        </w:rPr>
      </w:pPr>
      <w:r w:rsidRPr="000B7410">
        <w:rPr>
          <w:rFonts w:cs="Arial"/>
        </w:rPr>
        <w:t>*</w:t>
      </w:r>
      <w:r w:rsidR="0082568B" w:rsidRPr="000B7410">
        <w:rPr>
          <w:rFonts w:cs="Arial"/>
        </w:rPr>
        <w:t>where 1 is strongly disagree and 7 is strongly agree</w:t>
      </w:r>
    </w:p>
    <w:p w14:paraId="1ED7EE67" w14:textId="7EAC3A10" w:rsidR="0019483F" w:rsidRDefault="0082568B" w:rsidP="0019483F">
      <w:pPr>
        <w:spacing w:before="120"/>
        <w:rPr>
          <w:rFonts w:cs="Arial"/>
          <w:szCs w:val="20"/>
        </w:rPr>
      </w:pPr>
      <w:r w:rsidRPr="000B7410">
        <w:rPr>
          <w:rFonts w:cs="Arial"/>
          <w:sz w:val="24"/>
          <w:szCs w:val="24"/>
        </w:rPr>
        <w:t xml:space="preserve">Based on qualitative evaluation responses, every session of the workshop was viewed as informative and/or useful by one or more of the respondents. The key reasons for this were because of the learning / understanding gained from participating in the workshop sessions. Furthermore, the networking opportunities / idea-sharing </w:t>
      </w:r>
      <w:proofErr w:type="gramStart"/>
      <w:r w:rsidRPr="000B7410">
        <w:rPr>
          <w:rFonts w:cs="Arial"/>
          <w:sz w:val="24"/>
          <w:szCs w:val="24"/>
        </w:rPr>
        <w:t>was</w:t>
      </w:r>
      <w:proofErr w:type="gramEnd"/>
      <w:r w:rsidRPr="000B7410">
        <w:rPr>
          <w:rFonts w:cs="Arial"/>
          <w:sz w:val="24"/>
          <w:szCs w:val="24"/>
        </w:rPr>
        <w:t xml:space="preserve"> also highlighted as an important aspect of the workshop.</w:t>
      </w:r>
    </w:p>
    <w:sectPr w:rsidR="0019483F" w:rsidSect="003A5023">
      <w:headerReference w:type="even" r:id="rId16"/>
      <w:headerReference w:type="default" r:id="rId17"/>
      <w:footerReference w:type="default" r:id="rId18"/>
      <w:headerReference w:type="first" r:id="rId19"/>
      <w:pgSz w:w="12240" w:h="15840"/>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FB25F" w14:textId="77777777" w:rsidR="000E7053" w:rsidRDefault="000E7053" w:rsidP="00F50741">
      <w:r>
        <w:separator/>
      </w:r>
    </w:p>
  </w:endnote>
  <w:endnote w:type="continuationSeparator" w:id="0">
    <w:p w14:paraId="6AD49D5E" w14:textId="77777777" w:rsidR="000E7053" w:rsidRDefault="000E7053" w:rsidP="00F5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1147"/>
      <w:docPartObj>
        <w:docPartGallery w:val="Page Numbers (Bottom of Page)"/>
        <w:docPartUnique/>
      </w:docPartObj>
    </w:sdtPr>
    <w:sdtContent>
      <w:p w14:paraId="6B4A4AE5" w14:textId="39CC070E" w:rsidR="000E7053" w:rsidRDefault="000E7053" w:rsidP="00473C45">
        <w:pPr>
          <w:pStyle w:val="Footer"/>
          <w:jc w:val="center"/>
        </w:pPr>
        <w:r>
          <w:fldChar w:fldCharType="begin"/>
        </w:r>
        <w:r>
          <w:instrText xml:space="preserve"> PAGE  \* ArabicDash </w:instrText>
        </w:r>
        <w:r>
          <w:fldChar w:fldCharType="separate"/>
        </w:r>
        <w:r w:rsidR="007B47A4">
          <w:rPr>
            <w:noProof/>
          </w:rPr>
          <w:t>- 16 -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B8E28" w14:textId="6958285A" w:rsidR="000E7053" w:rsidRPr="006F0E8E" w:rsidRDefault="000E7053" w:rsidP="006F0E8E">
    <w:pPr>
      <w:pStyle w:val="Footer"/>
      <w:ind w:left="720"/>
      <w:jc w:val="center"/>
    </w:pPr>
    <w:r>
      <w:t xml:space="preserve">- </w:t>
    </w:r>
    <w:sdt>
      <w:sdtPr>
        <w:id w:val="3159992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79C7">
          <w:rPr>
            <w:noProof/>
          </w:rPr>
          <w:t>21</w:t>
        </w:r>
        <w:r>
          <w:rPr>
            <w:noProof/>
          </w:rPr>
          <w:fldChar w:fldCharType="end"/>
        </w:r>
        <w:r>
          <w:rPr>
            <w:noProof/>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0B24F" w14:textId="4A74501B" w:rsidR="000E7053" w:rsidRDefault="000E7053" w:rsidP="006F0E8E">
    <w:pPr>
      <w:pStyle w:val="Footer"/>
      <w:jc w:val="center"/>
    </w:pPr>
    <w:r>
      <w:t>- 25 -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725D" w14:textId="77777777" w:rsidR="000E7053" w:rsidRDefault="000E7053" w:rsidP="00F50741">
      <w:r>
        <w:separator/>
      </w:r>
    </w:p>
  </w:footnote>
  <w:footnote w:type="continuationSeparator" w:id="0">
    <w:p w14:paraId="56C65A0A" w14:textId="77777777" w:rsidR="000E7053" w:rsidRDefault="000E7053" w:rsidP="00F50741">
      <w:r>
        <w:continuationSeparator/>
      </w:r>
    </w:p>
  </w:footnote>
  <w:footnote w:id="1">
    <w:p w14:paraId="751FA868" w14:textId="0B6959C6" w:rsidR="000E7053" w:rsidRDefault="000E7053">
      <w:pPr>
        <w:pStyle w:val="FootnoteText"/>
      </w:pPr>
      <w:r>
        <w:rPr>
          <w:rStyle w:val="FootnoteReference"/>
        </w:rPr>
        <w:footnoteRef/>
      </w:r>
      <w:r>
        <w:t xml:space="preserve"> </w:t>
      </w:r>
      <w:proofErr w:type="gramStart"/>
      <w:r>
        <w:t>Biosecurity Council of WA.</w:t>
      </w:r>
      <w:proofErr w:type="gramEnd"/>
      <w:r>
        <w:t xml:space="preserve"> 2014. ‘Biosecurity decision-making in Western Australia: roles and responsibilities. </w:t>
      </w:r>
      <w:proofErr w:type="gramStart"/>
      <w:r>
        <w:t>Results of stakeholder engagement’.</w:t>
      </w:r>
      <w:proofErr w:type="gramEnd"/>
      <w:r>
        <w:t xml:space="preserve"> </w:t>
      </w:r>
    </w:p>
  </w:footnote>
  <w:footnote w:id="2">
    <w:p w14:paraId="13C2F361" w14:textId="64F1143E" w:rsidR="000E7053" w:rsidRDefault="000E7053">
      <w:pPr>
        <w:pStyle w:val="FootnoteText"/>
      </w:pPr>
      <w:r>
        <w:rPr>
          <w:rStyle w:val="FootnoteReference"/>
        </w:rPr>
        <w:footnoteRef/>
      </w:r>
      <w:r>
        <w:t xml:space="preserve"> APC Act is applicable to</w:t>
      </w:r>
      <w:r>
        <w:rPr>
          <w:rFonts w:cs="Arial"/>
        </w:rPr>
        <w:t xml:space="preserve"> horticultural industries and other agricultural industry, but excludes broad acre cropping and grazing.</w:t>
      </w:r>
    </w:p>
  </w:footnote>
  <w:footnote w:id="3">
    <w:p w14:paraId="47E449D7" w14:textId="3CB46721" w:rsidR="000E7053" w:rsidRDefault="000E7053">
      <w:pPr>
        <w:pStyle w:val="FootnoteText"/>
      </w:pPr>
      <w:r>
        <w:rPr>
          <w:rStyle w:val="FootnoteReference"/>
        </w:rPr>
        <w:footnoteRef/>
      </w:r>
      <w:r>
        <w:t xml:space="preserve"> Funds raised via the APC can be used for activity other than biosecurity.</w:t>
      </w:r>
    </w:p>
  </w:footnote>
  <w:footnote w:id="4">
    <w:p w14:paraId="2170EE19" w14:textId="32565D28" w:rsidR="000E7053" w:rsidRPr="001504B7" w:rsidRDefault="000E7053">
      <w:pPr>
        <w:pStyle w:val="FootnoteText"/>
      </w:pPr>
      <w:r w:rsidRPr="001504B7">
        <w:rPr>
          <w:rStyle w:val="FootnoteReference"/>
        </w:rPr>
        <w:footnoteRef/>
      </w:r>
      <w:r w:rsidRPr="001504B7">
        <w:t xml:space="preserve"> The </w:t>
      </w:r>
      <w:r>
        <w:t>‘invasion curve animation’</w:t>
      </w:r>
      <w:r w:rsidRPr="001504B7">
        <w:t xml:space="preserve"> can be accessed from the </w:t>
      </w:r>
      <w:hyperlink r:id="rId1" w:history="1">
        <w:r w:rsidRPr="003779C7">
          <w:rPr>
            <w:rStyle w:val="Hyperlink"/>
          </w:rPr>
          <w:t>DAFWA YouTube channel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84" w14:textId="77777777" w:rsidR="000E7053" w:rsidRDefault="000E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CE75" w14:textId="77777777" w:rsidR="000E7053" w:rsidRDefault="000E7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DF55" w14:textId="77777777" w:rsidR="000E7053" w:rsidRDefault="000E70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1E1EA" w14:textId="77777777" w:rsidR="000E7053" w:rsidRDefault="000E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90A"/>
    <w:multiLevelType w:val="hybridMultilevel"/>
    <w:tmpl w:val="D1321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7C2BA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69668DA"/>
    <w:multiLevelType w:val="multilevel"/>
    <w:tmpl w:val="BDDAF9D0"/>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9482F41"/>
    <w:multiLevelType w:val="hybridMultilevel"/>
    <w:tmpl w:val="7C404B2E"/>
    <w:lvl w:ilvl="0" w:tplc="B97411C2">
      <w:start w:val="1"/>
      <w:numFmt w:val="bullet"/>
      <w:pStyle w:val="List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B6C52C5"/>
    <w:multiLevelType w:val="hybridMultilevel"/>
    <w:tmpl w:val="505A2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280054"/>
    <w:multiLevelType w:val="hybridMultilevel"/>
    <w:tmpl w:val="7778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3F6539"/>
    <w:multiLevelType w:val="hybridMultilevel"/>
    <w:tmpl w:val="2EF8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752600"/>
    <w:multiLevelType w:val="hybridMultilevel"/>
    <w:tmpl w:val="7E7CF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A3B1215"/>
    <w:multiLevelType w:val="hybridMultilevel"/>
    <w:tmpl w:val="AFEA2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712DE3"/>
    <w:multiLevelType w:val="hybridMultilevel"/>
    <w:tmpl w:val="0C20A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120A4"/>
    <w:multiLevelType w:val="hybridMultilevel"/>
    <w:tmpl w:val="3704EFB6"/>
    <w:lvl w:ilvl="0" w:tplc="20E4525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A022AE"/>
    <w:multiLevelType w:val="hybridMultilevel"/>
    <w:tmpl w:val="7172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CD706F"/>
    <w:multiLevelType w:val="hybridMultilevel"/>
    <w:tmpl w:val="F840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5B1217"/>
    <w:multiLevelType w:val="hybridMultilevel"/>
    <w:tmpl w:val="4ECA1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2B5B62"/>
    <w:multiLevelType w:val="hybridMultilevel"/>
    <w:tmpl w:val="596AA586"/>
    <w:lvl w:ilvl="0" w:tplc="8A1AA7F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586040E"/>
    <w:multiLevelType w:val="hybridMultilevel"/>
    <w:tmpl w:val="7E74B0B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nsid w:val="368B24F5"/>
    <w:multiLevelType w:val="hybridMultilevel"/>
    <w:tmpl w:val="47666570"/>
    <w:lvl w:ilvl="0" w:tplc="10863C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4B7315"/>
    <w:multiLevelType w:val="hybridMultilevel"/>
    <w:tmpl w:val="583E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775D98"/>
    <w:multiLevelType w:val="hybridMultilevel"/>
    <w:tmpl w:val="D1AA0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BA0629"/>
    <w:multiLevelType w:val="hybridMultilevel"/>
    <w:tmpl w:val="29D07DFE"/>
    <w:lvl w:ilvl="0" w:tplc="1D4C5ACC">
      <w:start w:val="1"/>
      <w:numFmt w:val="lowerRoman"/>
      <w:lvlText w:val="%1."/>
      <w:lvlJc w:val="right"/>
      <w:pPr>
        <w:ind w:left="720" w:hanging="360"/>
      </w:pPr>
      <w:rPr>
        <w:rFonts w:hint="default"/>
        <w:b w:val="0"/>
      </w:rPr>
    </w:lvl>
    <w:lvl w:ilvl="1" w:tplc="0C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E04418"/>
    <w:multiLevelType w:val="hybridMultilevel"/>
    <w:tmpl w:val="BCCA21D8"/>
    <w:lvl w:ilvl="0" w:tplc="A8A89F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4D7316"/>
    <w:multiLevelType w:val="hybridMultilevel"/>
    <w:tmpl w:val="BFD2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62453C"/>
    <w:multiLevelType w:val="hybridMultilevel"/>
    <w:tmpl w:val="B4E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A10283"/>
    <w:multiLevelType w:val="hybridMultilevel"/>
    <w:tmpl w:val="08A6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AB78C1"/>
    <w:multiLevelType w:val="hybridMultilevel"/>
    <w:tmpl w:val="C5EA1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B831B0"/>
    <w:multiLevelType w:val="hybridMultilevel"/>
    <w:tmpl w:val="F4FC08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87331B4"/>
    <w:multiLevelType w:val="hybridMultilevel"/>
    <w:tmpl w:val="B1C09FA0"/>
    <w:lvl w:ilvl="0" w:tplc="80D283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1C2EE1"/>
    <w:multiLevelType w:val="hybridMultilevel"/>
    <w:tmpl w:val="62781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D337026"/>
    <w:multiLevelType w:val="hybridMultilevel"/>
    <w:tmpl w:val="770A3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D31448"/>
    <w:multiLevelType w:val="hybridMultilevel"/>
    <w:tmpl w:val="62DAE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947558"/>
    <w:multiLevelType w:val="hybridMultilevel"/>
    <w:tmpl w:val="0F36DB68"/>
    <w:lvl w:ilvl="0" w:tplc="4984CADA">
      <w:start w:val="1"/>
      <w:numFmt w:val="bullet"/>
      <w:pStyle w:val="ListBulletIndent"/>
      <w:lvlText w:val=""/>
      <w:lvlJc w:val="left"/>
      <w:pPr>
        <w:ind w:left="1145" w:hanging="360"/>
      </w:pPr>
      <w:rPr>
        <w:rFonts w:ascii="Wingdings" w:hAnsi="Wingdings" w:hint="default"/>
        <w:sz w:val="16"/>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nsid w:val="5E8B4678"/>
    <w:multiLevelType w:val="hybridMultilevel"/>
    <w:tmpl w:val="35E857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FCD08BF"/>
    <w:multiLevelType w:val="hybridMultilevel"/>
    <w:tmpl w:val="7496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104BD5"/>
    <w:multiLevelType w:val="hybridMultilevel"/>
    <w:tmpl w:val="A1FE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563A68"/>
    <w:multiLevelType w:val="hybridMultilevel"/>
    <w:tmpl w:val="D4BCE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142484"/>
    <w:multiLevelType w:val="hybridMultilevel"/>
    <w:tmpl w:val="4EDCCC92"/>
    <w:lvl w:ilvl="0" w:tplc="0C090001">
      <w:start w:val="1"/>
      <w:numFmt w:val="bullet"/>
      <w:lvlText w:val=""/>
      <w:lvlJc w:val="left"/>
      <w:pPr>
        <w:ind w:left="1080" w:hanging="360"/>
      </w:pPr>
      <w:rPr>
        <w:rFonts w:ascii="Symbol" w:hAnsi="Symbo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D3E271A"/>
    <w:multiLevelType w:val="hybridMultilevel"/>
    <w:tmpl w:val="A4828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53660A"/>
    <w:multiLevelType w:val="hybridMultilevel"/>
    <w:tmpl w:val="A636E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8B87962"/>
    <w:multiLevelType w:val="hybridMultilevel"/>
    <w:tmpl w:val="FC6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9"/>
  </w:num>
  <w:num w:numId="7">
    <w:abstractNumId w:val="0"/>
  </w:num>
  <w:num w:numId="8">
    <w:abstractNumId w:val="35"/>
  </w:num>
  <w:num w:numId="9">
    <w:abstractNumId w:val="14"/>
  </w:num>
  <w:num w:numId="10">
    <w:abstractNumId w:val="33"/>
  </w:num>
  <w:num w:numId="11">
    <w:abstractNumId w:val="4"/>
  </w:num>
  <w:num w:numId="12">
    <w:abstractNumId w:val="32"/>
  </w:num>
  <w:num w:numId="13">
    <w:abstractNumId w:val="28"/>
  </w:num>
  <w:num w:numId="14">
    <w:abstractNumId w:val="36"/>
  </w:num>
  <w:num w:numId="15">
    <w:abstractNumId w:val="7"/>
  </w:num>
  <w:num w:numId="16">
    <w:abstractNumId w:val="26"/>
  </w:num>
  <w:num w:numId="17">
    <w:abstractNumId w:val="37"/>
  </w:num>
  <w:num w:numId="18">
    <w:abstractNumId w:val="20"/>
  </w:num>
  <w:num w:numId="19">
    <w:abstractNumId w:val="30"/>
  </w:num>
  <w:num w:numId="20">
    <w:abstractNumId w:val="11"/>
  </w:num>
  <w:num w:numId="21">
    <w:abstractNumId w:val="6"/>
  </w:num>
  <w:num w:numId="22">
    <w:abstractNumId w:val="18"/>
  </w:num>
  <w:num w:numId="23">
    <w:abstractNumId w:val="23"/>
  </w:num>
  <w:num w:numId="24">
    <w:abstractNumId w:val="22"/>
  </w:num>
  <w:num w:numId="25">
    <w:abstractNumId w:val="29"/>
  </w:num>
  <w:num w:numId="26">
    <w:abstractNumId w:val="25"/>
  </w:num>
  <w:num w:numId="27">
    <w:abstractNumId w:val="24"/>
  </w:num>
  <w:num w:numId="28">
    <w:abstractNumId w:val="16"/>
  </w:num>
  <w:num w:numId="29">
    <w:abstractNumId w:val="13"/>
  </w:num>
  <w:num w:numId="30">
    <w:abstractNumId w:val="12"/>
  </w:num>
  <w:num w:numId="31">
    <w:abstractNumId w:val="39"/>
  </w:num>
  <w:num w:numId="32">
    <w:abstractNumId w:val="8"/>
  </w:num>
  <w:num w:numId="33">
    <w:abstractNumId w:val="38"/>
  </w:num>
  <w:num w:numId="34">
    <w:abstractNumId w:val="19"/>
  </w:num>
  <w:num w:numId="35">
    <w:abstractNumId w:val="5"/>
  </w:num>
  <w:num w:numId="36">
    <w:abstractNumId w:val="17"/>
  </w:num>
  <w:num w:numId="37">
    <w:abstractNumId w:val="21"/>
  </w:num>
  <w:num w:numId="38">
    <w:abstractNumId w:val="10"/>
  </w:num>
  <w:num w:numId="39">
    <w:abstractNumId w:val="15"/>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28"/>
    <w:rsid w:val="000009BB"/>
    <w:rsid w:val="00001D9F"/>
    <w:rsid w:val="00003892"/>
    <w:rsid w:val="00007163"/>
    <w:rsid w:val="00007F71"/>
    <w:rsid w:val="000118DD"/>
    <w:rsid w:val="00012B8E"/>
    <w:rsid w:val="00013D3E"/>
    <w:rsid w:val="0001530D"/>
    <w:rsid w:val="00015620"/>
    <w:rsid w:val="000214FF"/>
    <w:rsid w:val="00021A85"/>
    <w:rsid w:val="00024319"/>
    <w:rsid w:val="00027FAA"/>
    <w:rsid w:val="000322E4"/>
    <w:rsid w:val="000373F2"/>
    <w:rsid w:val="00041947"/>
    <w:rsid w:val="00043E0A"/>
    <w:rsid w:val="000464C0"/>
    <w:rsid w:val="0004686A"/>
    <w:rsid w:val="00046BD8"/>
    <w:rsid w:val="0004738A"/>
    <w:rsid w:val="000519C5"/>
    <w:rsid w:val="000537E8"/>
    <w:rsid w:val="00053C34"/>
    <w:rsid w:val="00053DE4"/>
    <w:rsid w:val="00053F34"/>
    <w:rsid w:val="00055E07"/>
    <w:rsid w:val="0005676A"/>
    <w:rsid w:val="00056F98"/>
    <w:rsid w:val="00057FBF"/>
    <w:rsid w:val="00060AD6"/>
    <w:rsid w:val="00060C32"/>
    <w:rsid w:val="000665C0"/>
    <w:rsid w:val="000669F7"/>
    <w:rsid w:val="00072521"/>
    <w:rsid w:val="000727C2"/>
    <w:rsid w:val="00072C64"/>
    <w:rsid w:val="00072EB8"/>
    <w:rsid w:val="00073A6F"/>
    <w:rsid w:val="00074E43"/>
    <w:rsid w:val="00076BA2"/>
    <w:rsid w:val="00076EEB"/>
    <w:rsid w:val="00077169"/>
    <w:rsid w:val="00077477"/>
    <w:rsid w:val="0008127E"/>
    <w:rsid w:val="00081459"/>
    <w:rsid w:val="00083061"/>
    <w:rsid w:val="00085A95"/>
    <w:rsid w:val="000862D2"/>
    <w:rsid w:val="0009051D"/>
    <w:rsid w:val="00090E0C"/>
    <w:rsid w:val="000946CC"/>
    <w:rsid w:val="00096C8A"/>
    <w:rsid w:val="00096EF8"/>
    <w:rsid w:val="000976A6"/>
    <w:rsid w:val="000977B3"/>
    <w:rsid w:val="000A1DC1"/>
    <w:rsid w:val="000A7B8F"/>
    <w:rsid w:val="000B16A7"/>
    <w:rsid w:val="000B280D"/>
    <w:rsid w:val="000B3ACF"/>
    <w:rsid w:val="000B4242"/>
    <w:rsid w:val="000B7410"/>
    <w:rsid w:val="000D11A7"/>
    <w:rsid w:val="000D3412"/>
    <w:rsid w:val="000D4113"/>
    <w:rsid w:val="000D59A3"/>
    <w:rsid w:val="000D6397"/>
    <w:rsid w:val="000E02E5"/>
    <w:rsid w:val="000E1450"/>
    <w:rsid w:val="000E3B1E"/>
    <w:rsid w:val="000E7053"/>
    <w:rsid w:val="000E73D1"/>
    <w:rsid w:val="000E7553"/>
    <w:rsid w:val="000E7FC8"/>
    <w:rsid w:val="000F0B7C"/>
    <w:rsid w:val="000F20F0"/>
    <w:rsid w:val="000F773D"/>
    <w:rsid w:val="000F7803"/>
    <w:rsid w:val="00102421"/>
    <w:rsid w:val="00102472"/>
    <w:rsid w:val="001044AB"/>
    <w:rsid w:val="00105D26"/>
    <w:rsid w:val="00105D5E"/>
    <w:rsid w:val="00106837"/>
    <w:rsid w:val="0011224A"/>
    <w:rsid w:val="001127BA"/>
    <w:rsid w:val="001128E0"/>
    <w:rsid w:val="001169C3"/>
    <w:rsid w:val="00117607"/>
    <w:rsid w:val="001203A1"/>
    <w:rsid w:val="00120D9D"/>
    <w:rsid w:val="0012188B"/>
    <w:rsid w:val="001219AF"/>
    <w:rsid w:val="00121D81"/>
    <w:rsid w:val="00121F78"/>
    <w:rsid w:val="00124ADB"/>
    <w:rsid w:val="001255C6"/>
    <w:rsid w:val="0012668E"/>
    <w:rsid w:val="0012725A"/>
    <w:rsid w:val="00127291"/>
    <w:rsid w:val="00127512"/>
    <w:rsid w:val="00132D60"/>
    <w:rsid w:val="00134401"/>
    <w:rsid w:val="0014140A"/>
    <w:rsid w:val="0014272C"/>
    <w:rsid w:val="00142FC0"/>
    <w:rsid w:val="001458EF"/>
    <w:rsid w:val="00146CAA"/>
    <w:rsid w:val="001504B7"/>
    <w:rsid w:val="001528DB"/>
    <w:rsid w:val="0015754F"/>
    <w:rsid w:val="00161427"/>
    <w:rsid w:val="00161C18"/>
    <w:rsid w:val="001630C6"/>
    <w:rsid w:val="00163F69"/>
    <w:rsid w:val="00165C84"/>
    <w:rsid w:val="00165D80"/>
    <w:rsid w:val="00166DB3"/>
    <w:rsid w:val="00173FF4"/>
    <w:rsid w:val="0017449B"/>
    <w:rsid w:val="001749B3"/>
    <w:rsid w:val="00174DDF"/>
    <w:rsid w:val="00177BA2"/>
    <w:rsid w:val="00180322"/>
    <w:rsid w:val="0018115D"/>
    <w:rsid w:val="00181167"/>
    <w:rsid w:val="00182DC8"/>
    <w:rsid w:val="00182EF6"/>
    <w:rsid w:val="00183C96"/>
    <w:rsid w:val="00184692"/>
    <w:rsid w:val="00187682"/>
    <w:rsid w:val="00192D66"/>
    <w:rsid w:val="0019483F"/>
    <w:rsid w:val="00196551"/>
    <w:rsid w:val="00197B86"/>
    <w:rsid w:val="001A0613"/>
    <w:rsid w:val="001A228C"/>
    <w:rsid w:val="001A383F"/>
    <w:rsid w:val="001A3C05"/>
    <w:rsid w:val="001A4226"/>
    <w:rsid w:val="001A6778"/>
    <w:rsid w:val="001B2D2F"/>
    <w:rsid w:val="001B3D79"/>
    <w:rsid w:val="001B407D"/>
    <w:rsid w:val="001B44C6"/>
    <w:rsid w:val="001B4B4D"/>
    <w:rsid w:val="001B7477"/>
    <w:rsid w:val="001C0E7B"/>
    <w:rsid w:val="001C1016"/>
    <w:rsid w:val="001C3671"/>
    <w:rsid w:val="001D5674"/>
    <w:rsid w:val="001D5965"/>
    <w:rsid w:val="001D7C43"/>
    <w:rsid w:val="001E0969"/>
    <w:rsid w:val="001E1F13"/>
    <w:rsid w:val="001E235D"/>
    <w:rsid w:val="001E73F2"/>
    <w:rsid w:val="001E78D9"/>
    <w:rsid w:val="001F380F"/>
    <w:rsid w:val="001F637F"/>
    <w:rsid w:val="002008FC"/>
    <w:rsid w:val="002010A7"/>
    <w:rsid w:val="00201227"/>
    <w:rsid w:val="002016FB"/>
    <w:rsid w:val="00201B80"/>
    <w:rsid w:val="00204049"/>
    <w:rsid w:val="0020495C"/>
    <w:rsid w:val="00204C30"/>
    <w:rsid w:val="00205483"/>
    <w:rsid w:val="00210095"/>
    <w:rsid w:val="00214396"/>
    <w:rsid w:val="0021750F"/>
    <w:rsid w:val="002241FF"/>
    <w:rsid w:val="00224B9A"/>
    <w:rsid w:val="00225881"/>
    <w:rsid w:val="00227186"/>
    <w:rsid w:val="0022732F"/>
    <w:rsid w:val="002301A9"/>
    <w:rsid w:val="0023120F"/>
    <w:rsid w:val="00233103"/>
    <w:rsid w:val="002333A7"/>
    <w:rsid w:val="00240A68"/>
    <w:rsid w:val="002414F3"/>
    <w:rsid w:val="00241E3B"/>
    <w:rsid w:val="00242587"/>
    <w:rsid w:val="00243A62"/>
    <w:rsid w:val="00244E54"/>
    <w:rsid w:val="00245EA7"/>
    <w:rsid w:val="0024797B"/>
    <w:rsid w:val="00247CCA"/>
    <w:rsid w:val="0025126D"/>
    <w:rsid w:val="00254313"/>
    <w:rsid w:val="00254FCE"/>
    <w:rsid w:val="00260316"/>
    <w:rsid w:val="0026045D"/>
    <w:rsid w:val="00260E35"/>
    <w:rsid w:val="002619F9"/>
    <w:rsid w:val="00261C28"/>
    <w:rsid w:val="00262839"/>
    <w:rsid w:val="002649B3"/>
    <w:rsid w:val="00264ACD"/>
    <w:rsid w:val="00265CC9"/>
    <w:rsid w:val="00270DB9"/>
    <w:rsid w:val="00271578"/>
    <w:rsid w:val="00271CF1"/>
    <w:rsid w:val="002721C1"/>
    <w:rsid w:val="00273C1D"/>
    <w:rsid w:val="00274CE9"/>
    <w:rsid w:val="0027504E"/>
    <w:rsid w:val="00276E6A"/>
    <w:rsid w:val="002809E4"/>
    <w:rsid w:val="00280B3E"/>
    <w:rsid w:val="00283964"/>
    <w:rsid w:val="0028484F"/>
    <w:rsid w:val="00286F9A"/>
    <w:rsid w:val="00290158"/>
    <w:rsid w:val="002914F5"/>
    <w:rsid w:val="0029197A"/>
    <w:rsid w:val="00294F90"/>
    <w:rsid w:val="00297109"/>
    <w:rsid w:val="002A03C0"/>
    <w:rsid w:val="002A1002"/>
    <w:rsid w:val="002A1200"/>
    <w:rsid w:val="002A1275"/>
    <w:rsid w:val="002A1471"/>
    <w:rsid w:val="002A1490"/>
    <w:rsid w:val="002A2356"/>
    <w:rsid w:val="002A3F6A"/>
    <w:rsid w:val="002A4619"/>
    <w:rsid w:val="002A5548"/>
    <w:rsid w:val="002A6017"/>
    <w:rsid w:val="002A73CF"/>
    <w:rsid w:val="002B3885"/>
    <w:rsid w:val="002B3A46"/>
    <w:rsid w:val="002B6468"/>
    <w:rsid w:val="002C2E7B"/>
    <w:rsid w:val="002C3D1E"/>
    <w:rsid w:val="002C3DC4"/>
    <w:rsid w:val="002C6016"/>
    <w:rsid w:val="002D1171"/>
    <w:rsid w:val="002D1EF6"/>
    <w:rsid w:val="002E44E5"/>
    <w:rsid w:val="002F37C0"/>
    <w:rsid w:val="002F4554"/>
    <w:rsid w:val="002F4A7E"/>
    <w:rsid w:val="00303C34"/>
    <w:rsid w:val="00304D71"/>
    <w:rsid w:val="00305CB3"/>
    <w:rsid w:val="00310AA6"/>
    <w:rsid w:val="0031228A"/>
    <w:rsid w:val="00313B6F"/>
    <w:rsid w:val="00314736"/>
    <w:rsid w:val="003150C3"/>
    <w:rsid w:val="0031706A"/>
    <w:rsid w:val="003200AD"/>
    <w:rsid w:val="003229F2"/>
    <w:rsid w:val="0032617D"/>
    <w:rsid w:val="00326E70"/>
    <w:rsid w:val="0032776C"/>
    <w:rsid w:val="00332AA1"/>
    <w:rsid w:val="00335CBF"/>
    <w:rsid w:val="00337ABB"/>
    <w:rsid w:val="003404F5"/>
    <w:rsid w:val="00340749"/>
    <w:rsid w:val="00340E99"/>
    <w:rsid w:val="00341C13"/>
    <w:rsid w:val="003425B6"/>
    <w:rsid w:val="003425EA"/>
    <w:rsid w:val="003448E2"/>
    <w:rsid w:val="00345A25"/>
    <w:rsid w:val="00345E44"/>
    <w:rsid w:val="00353409"/>
    <w:rsid w:val="00353690"/>
    <w:rsid w:val="00354B97"/>
    <w:rsid w:val="00355EC5"/>
    <w:rsid w:val="00360827"/>
    <w:rsid w:val="0036335C"/>
    <w:rsid w:val="00364D36"/>
    <w:rsid w:val="00366C21"/>
    <w:rsid w:val="003670BD"/>
    <w:rsid w:val="0036753D"/>
    <w:rsid w:val="00370326"/>
    <w:rsid w:val="00370329"/>
    <w:rsid w:val="003739D2"/>
    <w:rsid w:val="00373BD8"/>
    <w:rsid w:val="00374D2F"/>
    <w:rsid w:val="00375CEA"/>
    <w:rsid w:val="00376F75"/>
    <w:rsid w:val="003779C7"/>
    <w:rsid w:val="0038113B"/>
    <w:rsid w:val="00382C24"/>
    <w:rsid w:val="00384FBA"/>
    <w:rsid w:val="0038597B"/>
    <w:rsid w:val="00387E5A"/>
    <w:rsid w:val="003934CA"/>
    <w:rsid w:val="00393EBD"/>
    <w:rsid w:val="003946E8"/>
    <w:rsid w:val="00394B32"/>
    <w:rsid w:val="00396F18"/>
    <w:rsid w:val="003A2296"/>
    <w:rsid w:val="003A30D1"/>
    <w:rsid w:val="003A31F7"/>
    <w:rsid w:val="003A5023"/>
    <w:rsid w:val="003A51FD"/>
    <w:rsid w:val="003A7FF6"/>
    <w:rsid w:val="003B11B1"/>
    <w:rsid w:val="003B13F6"/>
    <w:rsid w:val="003B3BDC"/>
    <w:rsid w:val="003B4061"/>
    <w:rsid w:val="003B4CF8"/>
    <w:rsid w:val="003B7362"/>
    <w:rsid w:val="003B79B7"/>
    <w:rsid w:val="003C1CAA"/>
    <w:rsid w:val="003C2BDE"/>
    <w:rsid w:val="003C4447"/>
    <w:rsid w:val="003D55C5"/>
    <w:rsid w:val="003D5828"/>
    <w:rsid w:val="003D6B8C"/>
    <w:rsid w:val="003D751F"/>
    <w:rsid w:val="003E025C"/>
    <w:rsid w:val="003E0CDD"/>
    <w:rsid w:val="003E125C"/>
    <w:rsid w:val="003E1875"/>
    <w:rsid w:val="003E1C4D"/>
    <w:rsid w:val="003E3A05"/>
    <w:rsid w:val="003E48A3"/>
    <w:rsid w:val="003E4EF1"/>
    <w:rsid w:val="003E6907"/>
    <w:rsid w:val="003F00A3"/>
    <w:rsid w:val="003F1494"/>
    <w:rsid w:val="003F2D1F"/>
    <w:rsid w:val="003F36B3"/>
    <w:rsid w:val="003F4943"/>
    <w:rsid w:val="003F65C9"/>
    <w:rsid w:val="00400B9C"/>
    <w:rsid w:val="004020C0"/>
    <w:rsid w:val="00403051"/>
    <w:rsid w:val="0040421A"/>
    <w:rsid w:val="0040434F"/>
    <w:rsid w:val="004053D1"/>
    <w:rsid w:val="00410312"/>
    <w:rsid w:val="0041234F"/>
    <w:rsid w:val="00412508"/>
    <w:rsid w:val="0041636F"/>
    <w:rsid w:val="0042009F"/>
    <w:rsid w:val="00420611"/>
    <w:rsid w:val="00422059"/>
    <w:rsid w:val="00423729"/>
    <w:rsid w:val="00423F58"/>
    <w:rsid w:val="00424F8C"/>
    <w:rsid w:val="004300A1"/>
    <w:rsid w:val="0043268C"/>
    <w:rsid w:val="0043453A"/>
    <w:rsid w:val="00435F0D"/>
    <w:rsid w:val="00437129"/>
    <w:rsid w:val="0043720D"/>
    <w:rsid w:val="004376B5"/>
    <w:rsid w:val="0043782A"/>
    <w:rsid w:val="00440B4E"/>
    <w:rsid w:val="00443208"/>
    <w:rsid w:val="00443362"/>
    <w:rsid w:val="004439BA"/>
    <w:rsid w:val="0044667D"/>
    <w:rsid w:val="004477D4"/>
    <w:rsid w:val="00450065"/>
    <w:rsid w:val="00450E2F"/>
    <w:rsid w:val="00452ABF"/>
    <w:rsid w:val="00452C63"/>
    <w:rsid w:val="00452F5C"/>
    <w:rsid w:val="0045330A"/>
    <w:rsid w:val="004552B1"/>
    <w:rsid w:val="00456547"/>
    <w:rsid w:val="00457076"/>
    <w:rsid w:val="004570D8"/>
    <w:rsid w:val="00457962"/>
    <w:rsid w:val="00457F4D"/>
    <w:rsid w:val="00462C6C"/>
    <w:rsid w:val="00462F37"/>
    <w:rsid w:val="00463E30"/>
    <w:rsid w:val="00464E2D"/>
    <w:rsid w:val="00464F7F"/>
    <w:rsid w:val="00467AB6"/>
    <w:rsid w:val="00471E34"/>
    <w:rsid w:val="00473C45"/>
    <w:rsid w:val="0047413D"/>
    <w:rsid w:val="00480AD7"/>
    <w:rsid w:val="00480CFA"/>
    <w:rsid w:val="00481F9C"/>
    <w:rsid w:val="00483DE6"/>
    <w:rsid w:val="004842BB"/>
    <w:rsid w:val="00487FBC"/>
    <w:rsid w:val="00490115"/>
    <w:rsid w:val="00493513"/>
    <w:rsid w:val="004942DA"/>
    <w:rsid w:val="004943F0"/>
    <w:rsid w:val="00494904"/>
    <w:rsid w:val="00495D6B"/>
    <w:rsid w:val="00497B25"/>
    <w:rsid w:val="004A0723"/>
    <w:rsid w:val="004A1047"/>
    <w:rsid w:val="004A12E6"/>
    <w:rsid w:val="004A1ACE"/>
    <w:rsid w:val="004A21F7"/>
    <w:rsid w:val="004B1F90"/>
    <w:rsid w:val="004B558A"/>
    <w:rsid w:val="004C0088"/>
    <w:rsid w:val="004C1B1D"/>
    <w:rsid w:val="004C3183"/>
    <w:rsid w:val="004D097A"/>
    <w:rsid w:val="004D2717"/>
    <w:rsid w:val="004D36E4"/>
    <w:rsid w:val="004D4CE8"/>
    <w:rsid w:val="004D787B"/>
    <w:rsid w:val="004D7E43"/>
    <w:rsid w:val="004E007A"/>
    <w:rsid w:val="004E08A9"/>
    <w:rsid w:val="004E1D20"/>
    <w:rsid w:val="004E25C8"/>
    <w:rsid w:val="004E3526"/>
    <w:rsid w:val="004F1DFD"/>
    <w:rsid w:val="004F217B"/>
    <w:rsid w:val="004F4951"/>
    <w:rsid w:val="004F4A0E"/>
    <w:rsid w:val="004F79B3"/>
    <w:rsid w:val="005030AB"/>
    <w:rsid w:val="00504A09"/>
    <w:rsid w:val="00504A0D"/>
    <w:rsid w:val="00506964"/>
    <w:rsid w:val="00507516"/>
    <w:rsid w:val="00511A44"/>
    <w:rsid w:val="005142A7"/>
    <w:rsid w:val="0051593F"/>
    <w:rsid w:val="00515D8F"/>
    <w:rsid w:val="00517658"/>
    <w:rsid w:val="00520BA4"/>
    <w:rsid w:val="00525613"/>
    <w:rsid w:val="005258E2"/>
    <w:rsid w:val="00526B58"/>
    <w:rsid w:val="0052717A"/>
    <w:rsid w:val="00531D32"/>
    <w:rsid w:val="00534EC3"/>
    <w:rsid w:val="00535249"/>
    <w:rsid w:val="00535DE0"/>
    <w:rsid w:val="005364E9"/>
    <w:rsid w:val="005367CA"/>
    <w:rsid w:val="005368A9"/>
    <w:rsid w:val="00540544"/>
    <w:rsid w:val="00543F08"/>
    <w:rsid w:val="005445CB"/>
    <w:rsid w:val="005472C4"/>
    <w:rsid w:val="00550877"/>
    <w:rsid w:val="00552018"/>
    <w:rsid w:val="0055594B"/>
    <w:rsid w:val="00555FE1"/>
    <w:rsid w:val="00557679"/>
    <w:rsid w:val="005577CA"/>
    <w:rsid w:val="005644C2"/>
    <w:rsid w:val="0056463B"/>
    <w:rsid w:val="00566C42"/>
    <w:rsid w:val="0057115C"/>
    <w:rsid w:val="00572890"/>
    <w:rsid w:val="005745C3"/>
    <w:rsid w:val="00580EF2"/>
    <w:rsid w:val="005836E8"/>
    <w:rsid w:val="00583CA8"/>
    <w:rsid w:val="00586FBF"/>
    <w:rsid w:val="005903AA"/>
    <w:rsid w:val="00593E94"/>
    <w:rsid w:val="005952B3"/>
    <w:rsid w:val="005A1037"/>
    <w:rsid w:val="005A4946"/>
    <w:rsid w:val="005A4C31"/>
    <w:rsid w:val="005B0529"/>
    <w:rsid w:val="005B2544"/>
    <w:rsid w:val="005B3493"/>
    <w:rsid w:val="005B480C"/>
    <w:rsid w:val="005B57C5"/>
    <w:rsid w:val="005B7049"/>
    <w:rsid w:val="005C50E8"/>
    <w:rsid w:val="005C686B"/>
    <w:rsid w:val="005C7450"/>
    <w:rsid w:val="005D3052"/>
    <w:rsid w:val="005D5DC2"/>
    <w:rsid w:val="005D65B7"/>
    <w:rsid w:val="005D765C"/>
    <w:rsid w:val="005D77F7"/>
    <w:rsid w:val="005E152D"/>
    <w:rsid w:val="005E3273"/>
    <w:rsid w:val="005E46A2"/>
    <w:rsid w:val="005E7673"/>
    <w:rsid w:val="005F04C5"/>
    <w:rsid w:val="005F17A0"/>
    <w:rsid w:val="005F2DAF"/>
    <w:rsid w:val="005F5D20"/>
    <w:rsid w:val="005F69E2"/>
    <w:rsid w:val="005F7282"/>
    <w:rsid w:val="00601302"/>
    <w:rsid w:val="00602CE8"/>
    <w:rsid w:val="006044E6"/>
    <w:rsid w:val="0060455E"/>
    <w:rsid w:val="00604A05"/>
    <w:rsid w:val="006078C6"/>
    <w:rsid w:val="00607B29"/>
    <w:rsid w:val="00607D26"/>
    <w:rsid w:val="006135F7"/>
    <w:rsid w:val="00621A94"/>
    <w:rsid w:val="00622692"/>
    <w:rsid w:val="00623548"/>
    <w:rsid w:val="00623F34"/>
    <w:rsid w:val="00624439"/>
    <w:rsid w:val="00624D4A"/>
    <w:rsid w:val="00624D8D"/>
    <w:rsid w:val="00625CBC"/>
    <w:rsid w:val="006260A6"/>
    <w:rsid w:val="00627783"/>
    <w:rsid w:val="00632363"/>
    <w:rsid w:val="00635DF1"/>
    <w:rsid w:val="00640864"/>
    <w:rsid w:val="006437E1"/>
    <w:rsid w:val="00645B01"/>
    <w:rsid w:val="006462C6"/>
    <w:rsid w:val="006465C7"/>
    <w:rsid w:val="006467CA"/>
    <w:rsid w:val="00647846"/>
    <w:rsid w:val="00652A97"/>
    <w:rsid w:val="0065395F"/>
    <w:rsid w:val="00653FC9"/>
    <w:rsid w:val="00655909"/>
    <w:rsid w:val="00656674"/>
    <w:rsid w:val="0065704E"/>
    <w:rsid w:val="006613CC"/>
    <w:rsid w:val="00663961"/>
    <w:rsid w:val="0066499D"/>
    <w:rsid w:val="00664D31"/>
    <w:rsid w:val="00665E8F"/>
    <w:rsid w:val="00666F87"/>
    <w:rsid w:val="006677E1"/>
    <w:rsid w:val="00667EDE"/>
    <w:rsid w:val="00670A46"/>
    <w:rsid w:val="006714DF"/>
    <w:rsid w:val="00674DC6"/>
    <w:rsid w:val="00675EF7"/>
    <w:rsid w:val="00676D5B"/>
    <w:rsid w:val="0067737F"/>
    <w:rsid w:val="0068101A"/>
    <w:rsid w:val="00682717"/>
    <w:rsid w:val="006836A3"/>
    <w:rsid w:val="00683E51"/>
    <w:rsid w:val="00684DAF"/>
    <w:rsid w:val="00687BCA"/>
    <w:rsid w:val="006912F5"/>
    <w:rsid w:val="0069296B"/>
    <w:rsid w:val="006932C8"/>
    <w:rsid w:val="006932D6"/>
    <w:rsid w:val="006947E2"/>
    <w:rsid w:val="00697F4F"/>
    <w:rsid w:val="006A3CF9"/>
    <w:rsid w:val="006A3D1C"/>
    <w:rsid w:val="006A64F4"/>
    <w:rsid w:val="006B13EC"/>
    <w:rsid w:val="006B1C97"/>
    <w:rsid w:val="006B3DFF"/>
    <w:rsid w:val="006B4355"/>
    <w:rsid w:val="006B742F"/>
    <w:rsid w:val="006B793C"/>
    <w:rsid w:val="006C3D4B"/>
    <w:rsid w:val="006C5145"/>
    <w:rsid w:val="006C6537"/>
    <w:rsid w:val="006D0571"/>
    <w:rsid w:val="006D182D"/>
    <w:rsid w:val="006D6C95"/>
    <w:rsid w:val="006D6FE5"/>
    <w:rsid w:val="006D75EA"/>
    <w:rsid w:val="006E2188"/>
    <w:rsid w:val="006E2714"/>
    <w:rsid w:val="006E2DCB"/>
    <w:rsid w:val="006E3E2C"/>
    <w:rsid w:val="006E4513"/>
    <w:rsid w:val="006E527E"/>
    <w:rsid w:val="006E5AD9"/>
    <w:rsid w:val="006E6825"/>
    <w:rsid w:val="006F0E8E"/>
    <w:rsid w:val="006F1C77"/>
    <w:rsid w:val="007012CC"/>
    <w:rsid w:val="00704069"/>
    <w:rsid w:val="00704A1A"/>
    <w:rsid w:val="00704C49"/>
    <w:rsid w:val="007054C4"/>
    <w:rsid w:val="00707BED"/>
    <w:rsid w:val="00715723"/>
    <w:rsid w:val="007159B2"/>
    <w:rsid w:val="00716C19"/>
    <w:rsid w:val="0072368A"/>
    <w:rsid w:val="007255D8"/>
    <w:rsid w:val="00725B43"/>
    <w:rsid w:val="007263AC"/>
    <w:rsid w:val="007276E8"/>
    <w:rsid w:val="00732160"/>
    <w:rsid w:val="00732A55"/>
    <w:rsid w:val="00732D6E"/>
    <w:rsid w:val="00732DE7"/>
    <w:rsid w:val="00736EA7"/>
    <w:rsid w:val="0074006B"/>
    <w:rsid w:val="00742CAB"/>
    <w:rsid w:val="00743984"/>
    <w:rsid w:val="00745F6E"/>
    <w:rsid w:val="00746449"/>
    <w:rsid w:val="00746796"/>
    <w:rsid w:val="00751F2E"/>
    <w:rsid w:val="00752FD4"/>
    <w:rsid w:val="00754C86"/>
    <w:rsid w:val="007557D2"/>
    <w:rsid w:val="007559BC"/>
    <w:rsid w:val="00755B1A"/>
    <w:rsid w:val="00755BF4"/>
    <w:rsid w:val="00757418"/>
    <w:rsid w:val="007601E6"/>
    <w:rsid w:val="007609AE"/>
    <w:rsid w:val="00761E0A"/>
    <w:rsid w:val="007624F3"/>
    <w:rsid w:val="0076258B"/>
    <w:rsid w:val="007625E4"/>
    <w:rsid w:val="00762D10"/>
    <w:rsid w:val="007645DB"/>
    <w:rsid w:val="00766F71"/>
    <w:rsid w:val="00772D68"/>
    <w:rsid w:val="00773695"/>
    <w:rsid w:val="00776774"/>
    <w:rsid w:val="007775D4"/>
    <w:rsid w:val="00783DCE"/>
    <w:rsid w:val="0078413C"/>
    <w:rsid w:val="0078442D"/>
    <w:rsid w:val="00786109"/>
    <w:rsid w:val="00790BEB"/>
    <w:rsid w:val="00792508"/>
    <w:rsid w:val="007948D1"/>
    <w:rsid w:val="00794E51"/>
    <w:rsid w:val="00795753"/>
    <w:rsid w:val="00795D16"/>
    <w:rsid w:val="007961D2"/>
    <w:rsid w:val="00796FDF"/>
    <w:rsid w:val="00797813"/>
    <w:rsid w:val="007A5A73"/>
    <w:rsid w:val="007A5D95"/>
    <w:rsid w:val="007A6855"/>
    <w:rsid w:val="007B2D1F"/>
    <w:rsid w:val="007B32BC"/>
    <w:rsid w:val="007B3A1F"/>
    <w:rsid w:val="007B3D05"/>
    <w:rsid w:val="007B47A4"/>
    <w:rsid w:val="007B63D7"/>
    <w:rsid w:val="007C00BC"/>
    <w:rsid w:val="007C123A"/>
    <w:rsid w:val="007C2D44"/>
    <w:rsid w:val="007C40FC"/>
    <w:rsid w:val="007C4DC1"/>
    <w:rsid w:val="007D0808"/>
    <w:rsid w:val="007D5907"/>
    <w:rsid w:val="007D7BDA"/>
    <w:rsid w:val="007F1500"/>
    <w:rsid w:val="007F1F8B"/>
    <w:rsid w:val="007F447B"/>
    <w:rsid w:val="007F667E"/>
    <w:rsid w:val="007F6C42"/>
    <w:rsid w:val="008012B9"/>
    <w:rsid w:val="00803872"/>
    <w:rsid w:val="00803A44"/>
    <w:rsid w:val="008046F9"/>
    <w:rsid w:val="00806571"/>
    <w:rsid w:val="00806C64"/>
    <w:rsid w:val="00807525"/>
    <w:rsid w:val="0081109A"/>
    <w:rsid w:val="00813160"/>
    <w:rsid w:val="00820164"/>
    <w:rsid w:val="0082151C"/>
    <w:rsid w:val="00824E04"/>
    <w:rsid w:val="0082568B"/>
    <w:rsid w:val="0082581F"/>
    <w:rsid w:val="008261F0"/>
    <w:rsid w:val="008327AB"/>
    <w:rsid w:val="00833260"/>
    <w:rsid w:val="00835258"/>
    <w:rsid w:val="008354B2"/>
    <w:rsid w:val="0083584E"/>
    <w:rsid w:val="008375CE"/>
    <w:rsid w:val="0084018C"/>
    <w:rsid w:val="00841DBF"/>
    <w:rsid w:val="008429E0"/>
    <w:rsid w:val="00844181"/>
    <w:rsid w:val="0084524C"/>
    <w:rsid w:val="00845B87"/>
    <w:rsid w:val="00847165"/>
    <w:rsid w:val="008479E7"/>
    <w:rsid w:val="008504D0"/>
    <w:rsid w:val="00850EFC"/>
    <w:rsid w:val="00852643"/>
    <w:rsid w:val="00854287"/>
    <w:rsid w:val="00854722"/>
    <w:rsid w:val="00855B7C"/>
    <w:rsid w:val="008563FD"/>
    <w:rsid w:val="00856CA5"/>
    <w:rsid w:val="00860A1F"/>
    <w:rsid w:val="00861BE3"/>
    <w:rsid w:val="0086309A"/>
    <w:rsid w:val="00863353"/>
    <w:rsid w:val="008668DD"/>
    <w:rsid w:val="0087186C"/>
    <w:rsid w:val="00871D2D"/>
    <w:rsid w:val="00872B72"/>
    <w:rsid w:val="008737C8"/>
    <w:rsid w:val="008737D7"/>
    <w:rsid w:val="00876941"/>
    <w:rsid w:val="008803C9"/>
    <w:rsid w:val="00880991"/>
    <w:rsid w:val="00881535"/>
    <w:rsid w:val="00882A18"/>
    <w:rsid w:val="00882CD5"/>
    <w:rsid w:val="008835B7"/>
    <w:rsid w:val="00886A99"/>
    <w:rsid w:val="00887695"/>
    <w:rsid w:val="008932AF"/>
    <w:rsid w:val="0089339F"/>
    <w:rsid w:val="0089445F"/>
    <w:rsid w:val="00896775"/>
    <w:rsid w:val="008A3171"/>
    <w:rsid w:val="008A3E96"/>
    <w:rsid w:val="008A618C"/>
    <w:rsid w:val="008A66FC"/>
    <w:rsid w:val="008B10B9"/>
    <w:rsid w:val="008B2A4B"/>
    <w:rsid w:val="008B48CF"/>
    <w:rsid w:val="008B63D1"/>
    <w:rsid w:val="008B6868"/>
    <w:rsid w:val="008C16D6"/>
    <w:rsid w:val="008C4840"/>
    <w:rsid w:val="008C5706"/>
    <w:rsid w:val="008C686D"/>
    <w:rsid w:val="008D07BE"/>
    <w:rsid w:val="008D12C3"/>
    <w:rsid w:val="008D24C2"/>
    <w:rsid w:val="008D4A3E"/>
    <w:rsid w:val="008D4EB1"/>
    <w:rsid w:val="008D6F51"/>
    <w:rsid w:val="008D7079"/>
    <w:rsid w:val="008E52C7"/>
    <w:rsid w:val="008F0687"/>
    <w:rsid w:val="008F0F6D"/>
    <w:rsid w:val="008F69CA"/>
    <w:rsid w:val="008F7CA0"/>
    <w:rsid w:val="00903C85"/>
    <w:rsid w:val="00903E6E"/>
    <w:rsid w:val="00905552"/>
    <w:rsid w:val="00906961"/>
    <w:rsid w:val="00907E54"/>
    <w:rsid w:val="00911B5C"/>
    <w:rsid w:val="00912466"/>
    <w:rsid w:val="00912A10"/>
    <w:rsid w:val="00912D59"/>
    <w:rsid w:val="00917A55"/>
    <w:rsid w:val="00917DB8"/>
    <w:rsid w:val="009212AA"/>
    <w:rsid w:val="009214B0"/>
    <w:rsid w:val="00921C84"/>
    <w:rsid w:val="00927165"/>
    <w:rsid w:val="00927F88"/>
    <w:rsid w:val="00931A4A"/>
    <w:rsid w:val="00932B0E"/>
    <w:rsid w:val="00932F47"/>
    <w:rsid w:val="009347D0"/>
    <w:rsid w:val="00935272"/>
    <w:rsid w:val="009352C2"/>
    <w:rsid w:val="00936ABC"/>
    <w:rsid w:val="00937068"/>
    <w:rsid w:val="00937A06"/>
    <w:rsid w:val="00937E4C"/>
    <w:rsid w:val="0094455D"/>
    <w:rsid w:val="00945414"/>
    <w:rsid w:val="00950465"/>
    <w:rsid w:val="009540CC"/>
    <w:rsid w:val="009567B5"/>
    <w:rsid w:val="0096272F"/>
    <w:rsid w:val="009674D5"/>
    <w:rsid w:val="0096764A"/>
    <w:rsid w:val="00971BA2"/>
    <w:rsid w:val="00973438"/>
    <w:rsid w:val="00973F3E"/>
    <w:rsid w:val="00975752"/>
    <w:rsid w:val="0098265E"/>
    <w:rsid w:val="0098305B"/>
    <w:rsid w:val="00984B27"/>
    <w:rsid w:val="00986981"/>
    <w:rsid w:val="009871AE"/>
    <w:rsid w:val="009879AA"/>
    <w:rsid w:val="00992066"/>
    <w:rsid w:val="009927C2"/>
    <w:rsid w:val="009932CF"/>
    <w:rsid w:val="009934DA"/>
    <w:rsid w:val="00993B68"/>
    <w:rsid w:val="00993DC9"/>
    <w:rsid w:val="00993F73"/>
    <w:rsid w:val="00995AF6"/>
    <w:rsid w:val="0099714C"/>
    <w:rsid w:val="00997AAE"/>
    <w:rsid w:val="00997DFA"/>
    <w:rsid w:val="009A2645"/>
    <w:rsid w:val="009A318B"/>
    <w:rsid w:val="009A7BDB"/>
    <w:rsid w:val="009B6719"/>
    <w:rsid w:val="009B6B6C"/>
    <w:rsid w:val="009B7063"/>
    <w:rsid w:val="009C036D"/>
    <w:rsid w:val="009C0816"/>
    <w:rsid w:val="009C0EC5"/>
    <w:rsid w:val="009C1EE9"/>
    <w:rsid w:val="009C3188"/>
    <w:rsid w:val="009C3D75"/>
    <w:rsid w:val="009C4A43"/>
    <w:rsid w:val="009C61BC"/>
    <w:rsid w:val="009D0227"/>
    <w:rsid w:val="009D2019"/>
    <w:rsid w:val="009D2761"/>
    <w:rsid w:val="009D6A68"/>
    <w:rsid w:val="009D6E4E"/>
    <w:rsid w:val="009D71B7"/>
    <w:rsid w:val="009E0D02"/>
    <w:rsid w:val="009E134A"/>
    <w:rsid w:val="009E18CE"/>
    <w:rsid w:val="009E26DE"/>
    <w:rsid w:val="009E4AF9"/>
    <w:rsid w:val="009E5C86"/>
    <w:rsid w:val="009E70FF"/>
    <w:rsid w:val="009F1C90"/>
    <w:rsid w:val="009F2A2D"/>
    <w:rsid w:val="009F4479"/>
    <w:rsid w:val="009F45CA"/>
    <w:rsid w:val="009F5191"/>
    <w:rsid w:val="00A0009F"/>
    <w:rsid w:val="00A00942"/>
    <w:rsid w:val="00A00D49"/>
    <w:rsid w:val="00A00F9C"/>
    <w:rsid w:val="00A027AE"/>
    <w:rsid w:val="00A03533"/>
    <w:rsid w:val="00A04367"/>
    <w:rsid w:val="00A0560D"/>
    <w:rsid w:val="00A06AA5"/>
    <w:rsid w:val="00A0758D"/>
    <w:rsid w:val="00A07E54"/>
    <w:rsid w:val="00A107BA"/>
    <w:rsid w:val="00A1194E"/>
    <w:rsid w:val="00A125AB"/>
    <w:rsid w:val="00A12847"/>
    <w:rsid w:val="00A13142"/>
    <w:rsid w:val="00A145D0"/>
    <w:rsid w:val="00A1787F"/>
    <w:rsid w:val="00A22E80"/>
    <w:rsid w:val="00A23290"/>
    <w:rsid w:val="00A24EAA"/>
    <w:rsid w:val="00A26ED3"/>
    <w:rsid w:val="00A27A2B"/>
    <w:rsid w:val="00A32C6F"/>
    <w:rsid w:val="00A34C2C"/>
    <w:rsid w:val="00A35435"/>
    <w:rsid w:val="00A37A19"/>
    <w:rsid w:val="00A400BD"/>
    <w:rsid w:val="00A40FFA"/>
    <w:rsid w:val="00A43F06"/>
    <w:rsid w:val="00A45668"/>
    <w:rsid w:val="00A45ACB"/>
    <w:rsid w:val="00A47538"/>
    <w:rsid w:val="00A526D2"/>
    <w:rsid w:val="00A52C0D"/>
    <w:rsid w:val="00A5474B"/>
    <w:rsid w:val="00A63FC2"/>
    <w:rsid w:val="00A72A7D"/>
    <w:rsid w:val="00A72F76"/>
    <w:rsid w:val="00A74B3A"/>
    <w:rsid w:val="00A74E29"/>
    <w:rsid w:val="00A75413"/>
    <w:rsid w:val="00A75EE2"/>
    <w:rsid w:val="00A7643B"/>
    <w:rsid w:val="00A764D5"/>
    <w:rsid w:val="00A77C18"/>
    <w:rsid w:val="00A77C41"/>
    <w:rsid w:val="00A83170"/>
    <w:rsid w:val="00A85320"/>
    <w:rsid w:val="00A85734"/>
    <w:rsid w:val="00A857EC"/>
    <w:rsid w:val="00A86EAC"/>
    <w:rsid w:val="00A9121E"/>
    <w:rsid w:val="00A914EB"/>
    <w:rsid w:val="00A937B7"/>
    <w:rsid w:val="00A93A73"/>
    <w:rsid w:val="00A940CB"/>
    <w:rsid w:val="00A9681E"/>
    <w:rsid w:val="00A972B5"/>
    <w:rsid w:val="00AA0825"/>
    <w:rsid w:val="00AA195E"/>
    <w:rsid w:val="00AA1B80"/>
    <w:rsid w:val="00AA1EBB"/>
    <w:rsid w:val="00AA48B1"/>
    <w:rsid w:val="00AA496C"/>
    <w:rsid w:val="00AB11CC"/>
    <w:rsid w:val="00AB1A31"/>
    <w:rsid w:val="00AB5A86"/>
    <w:rsid w:val="00AB5C0B"/>
    <w:rsid w:val="00AC08A1"/>
    <w:rsid w:val="00AC312E"/>
    <w:rsid w:val="00AD5D6D"/>
    <w:rsid w:val="00AD75F7"/>
    <w:rsid w:val="00AE0FF3"/>
    <w:rsid w:val="00AE1B0C"/>
    <w:rsid w:val="00AE3739"/>
    <w:rsid w:val="00AE4A7E"/>
    <w:rsid w:val="00AE64D3"/>
    <w:rsid w:val="00AE6B8E"/>
    <w:rsid w:val="00AE7DE1"/>
    <w:rsid w:val="00AF0178"/>
    <w:rsid w:val="00AF2399"/>
    <w:rsid w:val="00AF3824"/>
    <w:rsid w:val="00AF4819"/>
    <w:rsid w:val="00B00DBB"/>
    <w:rsid w:val="00B01728"/>
    <w:rsid w:val="00B01774"/>
    <w:rsid w:val="00B023BC"/>
    <w:rsid w:val="00B025A9"/>
    <w:rsid w:val="00B12E37"/>
    <w:rsid w:val="00B14054"/>
    <w:rsid w:val="00B161FB"/>
    <w:rsid w:val="00B16E8B"/>
    <w:rsid w:val="00B20D14"/>
    <w:rsid w:val="00B21269"/>
    <w:rsid w:val="00B21E3B"/>
    <w:rsid w:val="00B23327"/>
    <w:rsid w:val="00B23777"/>
    <w:rsid w:val="00B2394E"/>
    <w:rsid w:val="00B23DEA"/>
    <w:rsid w:val="00B2470A"/>
    <w:rsid w:val="00B24FCA"/>
    <w:rsid w:val="00B26283"/>
    <w:rsid w:val="00B30338"/>
    <w:rsid w:val="00B30861"/>
    <w:rsid w:val="00B30B8D"/>
    <w:rsid w:val="00B30DAC"/>
    <w:rsid w:val="00B32F8A"/>
    <w:rsid w:val="00B3454B"/>
    <w:rsid w:val="00B35826"/>
    <w:rsid w:val="00B35A74"/>
    <w:rsid w:val="00B35FED"/>
    <w:rsid w:val="00B423C2"/>
    <w:rsid w:val="00B429CE"/>
    <w:rsid w:val="00B43E6D"/>
    <w:rsid w:val="00B448A5"/>
    <w:rsid w:val="00B44B12"/>
    <w:rsid w:val="00B47A95"/>
    <w:rsid w:val="00B52E54"/>
    <w:rsid w:val="00B541C0"/>
    <w:rsid w:val="00B54431"/>
    <w:rsid w:val="00B55E69"/>
    <w:rsid w:val="00B601B2"/>
    <w:rsid w:val="00B63C35"/>
    <w:rsid w:val="00B64F59"/>
    <w:rsid w:val="00B66161"/>
    <w:rsid w:val="00B70D36"/>
    <w:rsid w:val="00B724FA"/>
    <w:rsid w:val="00B730BB"/>
    <w:rsid w:val="00B75C1A"/>
    <w:rsid w:val="00B75E3F"/>
    <w:rsid w:val="00B7745F"/>
    <w:rsid w:val="00B80C92"/>
    <w:rsid w:val="00B81865"/>
    <w:rsid w:val="00B90406"/>
    <w:rsid w:val="00B90FE1"/>
    <w:rsid w:val="00B91480"/>
    <w:rsid w:val="00B92B1B"/>
    <w:rsid w:val="00B930FF"/>
    <w:rsid w:val="00B93854"/>
    <w:rsid w:val="00B97C07"/>
    <w:rsid w:val="00BB103E"/>
    <w:rsid w:val="00BB300D"/>
    <w:rsid w:val="00BB76A8"/>
    <w:rsid w:val="00BC3D09"/>
    <w:rsid w:val="00BC446D"/>
    <w:rsid w:val="00BC4C2D"/>
    <w:rsid w:val="00BC534A"/>
    <w:rsid w:val="00BC57D8"/>
    <w:rsid w:val="00BC5DB6"/>
    <w:rsid w:val="00BC75B7"/>
    <w:rsid w:val="00BD292E"/>
    <w:rsid w:val="00BD49CB"/>
    <w:rsid w:val="00BD6DFB"/>
    <w:rsid w:val="00BE0FBD"/>
    <w:rsid w:val="00BE2618"/>
    <w:rsid w:val="00BE28EB"/>
    <w:rsid w:val="00BE3060"/>
    <w:rsid w:val="00BE37AB"/>
    <w:rsid w:val="00BE4161"/>
    <w:rsid w:val="00BE4ABE"/>
    <w:rsid w:val="00BE5362"/>
    <w:rsid w:val="00BE748D"/>
    <w:rsid w:val="00BF1665"/>
    <w:rsid w:val="00BF1900"/>
    <w:rsid w:val="00C01911"/>
    <w:rsid w:val="00C054CF"/>
    <w:rsid w:val="00C10520"/>
    <w:rsid w:val="00C130C3"/>
    <w:rsid w:val="00C1495C"/>
    <w:rsid w:val="00C15B70"/>
    <w:rsid w:val="00C16BC6"/>
    <w:rsid w:val="00C17D80"/>
    <w:rsid w:val="00C2118F"/>
    <w:rsid w:val="00C2131D"/>
    <w:rsid w:val="00C21782"/>
    <w:rsid w:val="00C22C7F"/>
    <w:rsid w:val="00C23FA6"/>
    <w:rsid w:val="00C247AD"/>
    <w:rsid w:val="00C257AB"/>
    <w:rsid w:val="00C26E9C"/>
    <w:rsid w:val="00C3057D"/>
    <w:rsid w:val="00C31F1C"/>
    <w:rsid w:val="00C3218E"/>
    <w:rsid w:val="00C379C1"/>
    <w:rsid w:val="00C41D1B"/>
    <w:rsid w:val="00C42973"/>
    <w:rsid w:val="00C5005B"/>
    <w:rsid w:val="00C500D2"/>
    <w:rsid w:val="00C55D84"/>
    <w:rsid w:val="00C57746"/>
    <w:rsid w:val="00C6008A"/>
    <w:rsid w:val="00C65CF4"/>
    <w:rsid w:val="00C66E91"/>
    <w:rsid w:val="00C70303"/>
    <w:rsid w:val="00C70446"/>
    <w:rsid w:val="00C71A5D"/>
    <w:rsid w:val="00C72DD0"/>
    <w:rsid w:val="00C76028"/>
    <w:rsid w:val="00C8185E"/>
    <w:rsid w:val="00C82AE3"/>
    <w:rsid w:val="00C82DB5"/>
    <w:rsid w:val="00C92285"/>
    <w:rsid w:val="00C9653A"/>
    <w:rsid w:val="00CA038D"/>
    <w:rsid w:val="00CA0D0C"/>
    <w:rsid w:val="00CA11CA"/>
    <w:rsid w:val="00CA194C"/>
    <w:rsid w:val="00CA42F2"/>
    <w:rsid w:val="00CA4920"/>
    <w:rsid w:val="00CA4F9D"/>
    <w:rsid w:val="00CA7656"/>
    <w:rsid w:val="00CB0902"/>
    <w:rsid w:val="00CB0E75"/>
    <w:rsid w:val="00CB1233"/>
    <w:rsid w:val="00CB1981"/>
    <w:rsid w:val="00CB1B90"/>
    <w:rsid w:val="00CB1D66"/>
    <w:rsid w:val="00CB3223"/>
    <w:rsid w:val="00CB492A"/>
    <w:rsid w:val="00CB4B67"/>
    <w:rsid w:val="00CB7456"/>
    <w:rsid w:val="00CC0C02"/>
    <w:rsid w:val="00CC0D35"/>
    <w:rsid w:val="00CC3B81"/>
    <w:rsid w:val="00CC4ADD"/>
    <w:rsid w:val="00CC79DA"/>
    <w:rsid w:val="00CD142D"/>
    <w:rsid w:val="00CD2CC8"/>
    <w:rsid w:val="00CD3035"/>
    <w:rsid w:val="00CD4094"/>
    <w:rsid w:val="00CD74D4"/>
    <w:rsid w:val="00CE1416"/>
    <w:rsid w:val="00CE21D5"/>
    <w:rsid w:val="00CE319D"/>
    <w:rsid w:val="00CE74AE"/>
    <w:rsid w:val="00CF2373"/>
    <w:rsid w:val="00CF4BB9"/>
    <w:rsid w:val="00CF64BA"/>
    <w:rsid w:val="00CF6985"/>
    <w:rsid w:val="00D0363D"/>
    <w:rsid w:val="00D04B40"/>
    <w:rsid w:val="00D04C4B"/>
    <w:rsid w:val="00D07E1E"/>
    <w:rsid w:val="00D10626"/>
    <w:rsid w:val="00D11F6F"/>
    <w:rsid w:val="00D13D8F"/>
    <w:rsid w:val="00D15231"/>
    <w:rsid w:val="00D1590E"/>
    <w:rsid w:val="00D164BD"/>
    <w:rsid w:val="00D17B16"/>
    <w:rsid w:val="00D21233"/>
    <w:rsid w:val="00D216CA"/>
    <w:rsid w:val="00D21BF8"/>
    <w:rsid w:val="00D21E5C"/>
    <w:rsid w:val="00D221A2"/>
    <w:rsid w:val="00D22759"/>
    <w:rsid w:val="00D22AE7"/>
    <w:rsid w:val="00D22AF1"/>
    <w:rsid w:val="00D24F6D"/>
    <w:rsid w:val="00D251B0"/>
    <w:rsid w:val="00D2567D"/>
    <w:rsid w:val="00D260E6"/>
    <w:rsid w:val="00D26E6E"/>
    <w:rsid w:val="00D273C3"/>
    <w:rsid w:val="00D3503A"/>
    <w:rsid w:val="00D3641B"/>
    <w:rsid w:val="00D36490"/>
    <w:rsid w:val="00D3670C"/>
    <w:rsid w:val="00D40A6C"/>
    <w:rsid w:val="00D436CE"/>
    <w:rsid w:val="00D43C8B"/>
    <w:rsid w:val="00D449D5"/>
    <w:rsid w:val="00D476CD"/>
    <w:rsid w:val="00D47A7C"/>
    <w:rsid w:val="00D541E9"/>
    <w:rsid w:val="00D55BB4"/>
    <w:rsid w:val="00D57227"/>
    <w:rsid w:val="00D577C2"/>
    <w:rsid w:val="00D6380F"/>
    <w:rsid w:val="00D65A63"/>
    <w:rsid w:val="00D70363"/>
    <w:rsid w:val="00D71498"/>
    <w:rsid w:val="00D7193F"/>
    <w:rsid w:val="00D722B1"/>
    <w:rsid w:val="00D76AD0"/>
    <w:rsid w:val="00D805C0"/>
    <w:rsid w:val="00D80F4F"/>
    <w:rsid w:val="00D84AC8"/>
    <w:rsid w:val="00D8557B"/>
    <w:rsid w:val="00D90943"/>
    <w:rsid w:val="00D91258"/>
    <w:rsid w:val="00D9159A"/>
    <w:rsid w:val="00D92393"/>
    <w:rsid w:val="00D93124"/>
    <w:rsid w:val="00D932AF"/>
    <w:rsid w:val="00D96869"/>
    <w:rsid w:val="00DA2281"/>
    <w:rsid w:val="00DA28DF"/>
    <w:rsid w:val="00DA5BB1"/>
    <w:rsid w:val="00DA6672"/>
    <w:rsid w:val="00DA79F3"/>
    <w:rsid w:val="00DB21DC"/>
    <w:rsid w:val="00DB2386"/>
    <w:rsid w:val="00DB4130"/>
    <w:rsid w:val="00DB4BB4"/>
    <w:rsid w:val="00DB4DF0"/>
    <w:rsid w:val="00DB52C3"/>
    <w:rsid w:val="00DB5A01"/>
    <w:rsid w:val="00DB74E9"/>
    <w:rsid w:val="00DC3819"/>
    <w:rsid w:val="00DC422D"/>
    <w:rsid w:val="00DC47E6"/>
    <w:rsid w:val="00DC59B1"/>
    <w:rsid w:val="00DC766F"/>
    <w:rsid w:val="00DD3D3E"/>
    <w:rsid w:val="00DD433F"/>
    <w:rsid w:val="00DD4D74"/>
    <w:rsid w:val="00DD5D97"/>
    <w:rsid w:val="00DD66DD"/>
    <w:rsid w:val="00DD72DF"/>
    <w:rsid w:val="00DD7E3E"/>
    <w:rsid w:val="00DE0987"/>
    <w:rsid w:val="00DE0BB8"/>
    <w:rsid w:val="00DE4503"/>
    <w:rsid w:val="00DE4705"/>
    <w:rsid w:val="00DE56C6"/>
    <w:rsid w:val="00DE6A24"/>
    <w:rsid w:val="00DF01A6"/>
    <w:rsid w:val="00DF3BD4"/>
    <w:rsid w:val="00E02304"/>
    <w:rsid w:val="00E03409"/>
    <w:rsid w:val="00E05AF6"/>
    <w:rsid w:val="00E133C4"/>
    <w:rsid w:val="00E14BD2"/>
    <w:rsid w:val="00E160FF"/>
    <w:rsid w:val="00E17F6D"/>
    <w:rsid w:val="00E203E2"/>
    <w:rsid w:val="00E219C3"/>
    <w:rsid w:val="00E22D71"/>
    <w:rsid w:val="00E233AD"/>
    <w:rsid w:val="00E2574D"/>
    <w:rsid w:val="00E3015B"/>
    <w:rsid w:val="00E314AA"/>
    <w:rsid w:val="00E33A75"/>
    <w:rsid w:val="00E33ED7"/>
    <w:rsid w:val="00E40ACA"/>
    <w:rsid w:val="00E4211D"/>
    <w:rsid w:val="00E4515B"/>
    <w:rsid w:val="00E462A7"/>
    <w:rsid w:val="00E46373"/>
    <w:rsid w:val="00E46E00"/>
    <w:rsid w:val="00E57FD3"/>
    <w:rsid w:val="00E62B18"/>
    <w:rsid w:val="00E63573"/>
    <w:rsid w:val="00E6375F"/>
    <w:rsid w:val="00E643DE"/>
    <w:rsid w:val="00E64761"/>
    <w:rsid w:val="00E64FB1"/>
    <w:rsid w:val="00E6682B"/>
    <w:rsid w:val="00E7219A"/>
    <w:rsid w:val="00E75501"/>
    <w:rsid w:val="00E7682E"/>
    <w:rsid w:val="00E8076D"/>
    <w:rsid w:val="00E81F05"/>
    <w:rsid w:val="00E82DC0"/>
    <w:rsid w:val="00E836F2"/>
    <w:rsid w:val="00E839D9"/>
    <w:rsid w:val="00E85B9E"/>
    <w:rsid w:val="00E92B95"/>
    <w:rsid w:val="00E932C0"/>
    <w:rsid w:val="00E93DD0"/>
    <w:rsid w:val="00E95C64"/>
    <w:rsid w:val="00EA0B40"/>
    <w:rsid w:val="00EA0F19"/>
    <w:rsid w:val="00EA5354"/>
    <w:rsid w:val="00EA79BE"/>
    <w:rsid w:val="00EB28B3"/>
    <w:rsid w:val="00EB3153"/>
    <w:rsid w:val="00EB391E"/>
    <w:rsid w:val="00EB3FB3"/>
    <w:rsid w:val="00EB55EB"/>
    <w:rsid w:val="00EC1CF4"/>
    <w:rsid w:val="00EC23B7"/>
    <w:rsid w:val="00EC2B66"/>
    <w:rsid w:val="00EC2CC7"/>
    <w:rsid w:val="00EC55E2"/>
    <w:rsid w:val="00EC691D"/>
    <w:rsid w:val="00EC7F0E"/>
    <w:rsid w:val="00ED70C3"/>
    <w:rsid w:val="00EE1B69"/>
    <w:rsid w:val="00EE203A"/>
    <w:rsid w:val="00EE21BF"/>
    <w:rsid w:val="00EE38C1"/>
    <w:rsid w:val="00EE53F1"/>
    <w:rsid w:val="00EE5B11"/>
    <w:rsid w:val="00EE6038"/>
    <w:rsid w:val="00EE7A67"/>
    <w:rsid w:val="00EF0968"/>
    <w:rsid w:val="00EF0B5D"/>
    <w:rsid w:val="00EF23BA"/>
    <w:rsid w:val="00EF599F"/>
    <w:rsid w:val="00F0624B"/>
    <w:rsid w:val="00F11523"/>
    <w:rsid w:val="00F11EDA"/>
    <w:rsid w:val="00F13B42"/>
    <w:rsid w:val="00F13D8A"/>
    <w:rsid w:val="00F14388"/>
    <w:rsid w:val="00F15391"/>
    <w:rsid w:val="00F1618B"/>
    <w:rsid w:val="00F17E7D"/>
    <w:rsid w:val="00F2273B"/>
    <w:rsid w:val="00F25A0B"/>
    <w:rsid w:val="00F25EA2"/>
    <w:rsid w:val="00F260E0"/>
    <w:rsid w:val="00F2640A"/>
    <w:rsid w:val="00F30136"/>
    <w:rsid w:val="00F314E0"/>
    <w:rsid w:val="00F3377F"/>
    <w:rsid w:val="00F41A09"/>
    <w:rsid w:val="00F42B7D"/>
    <w:rsid w:val="00F42BA2"/>
    <w:rsid w:val="00F44FED"/>
    <w:rsid w:val="00F45DC1"/>
    <w:rsid w:val="00F50741"/>
    <w:rsid w:val="00F51137"/>
    <w:rsid w:val="00F52FBB"/>
    <w:rsid w:val="00F5323C"/>
    <w:rsid w:val="00F55652"/>
    <w:rsid w:val="00F57393"/>
    <w:rsid w:val="00F645A2"/>
    <w:rsid w:val="00F67726"/>
    <w:rsid w:val="00F7441C"/>
    <w:rsid w:val="00F767B0"/>
    <w:rsid w:val="00F7784A"/>
    <w:rsid w:val="00F83310"/>
    <w:rsid w:val="00F840BA"/>
    <w:rsid w:val="00F849A9"/>
    <w:rsid w:val="00F85F27"/>
    <w:rsid w:val="00F87275"/>
    <w:rsid w:val="00F872BA"/>
    <w:rsid w:val="00F87548"/>
    <w:rsid w:val="00F87EB1"/>
    <w:rsid w:val="00F916CB"/>
    <w:rsid w:val="00F9267D"/>
    <w:rsid w:val="00F929D7"/>
    <w:rsid w:val="00F9340B"/>
    <w:rsid w:val="00F937D4"/>
    <w:rsid w:val="00F94EDA"/>
    <w:rsid w:val="00F95FF1"/>
    <w:rsid w:val="00FA2077"/>
    <w:rsid w:val="00FA466A"/>
    <w:rsid w:val="00FB1012"/>
    <w:rsid w:val="00FB2767"/>
    <w:rsid w:val="00FB2EBC"/>
    <w:rsid w:val="00FB32EB"/>
    <w:rsid w:val="00FB3CC6"/>
    <w:rsid w:val="00FB7EF8"/>
    <w:rsid w:val="00FC0081"/>
    <w:rsid w:val="00FC09AB"/>
    <w:rsid w:val="00FC2B22"/>
    <w:rsid w:val="00FC68F6"/>
    <w:rsid w:val="00FD09CC"/>
    <w:rsid w:val="00FD11AE"/>
    <w:rsid w:val="00FD13C2"/>
    <w:rsid w:val="00FD1BCD"/>
    <w:rsid w:val="00FD1CBA"/>
    <w:rsid w:val="00FD3B99"/>
    <w:rsid w:val="00FD6573"/>
    <w:rsid w:val="00FD744F"/>
    <w:rsid w:val="00FE0A68"/>
    <w:rsid w:val="00FE2E88"/>
    <w:rsid w:val="00FE7166"/>
    <w:rsid w:val="00FF062C"/>
    <w:rsid w:val="00FF1CCF"/>
    <w:rsid w:val="00FF79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EB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3B"/>
    <w:pPr>
      <w:spacing w:line="264" w:lineRule="auto"/>
      <w:jc w:val="left"/>
    </w:pPr>
    <w:rPr>
      <w:rFonts w:ascii="Arial" w:hAnsi="Arial"/>
      <w:lang w:val="en-AU"/>
    </w:rPr>
  </w:style>
  <w:style w:type="paragraph" w:styleId="Heading1">
    <w:name w:val="heading 1"/>
    <w:basedOn w:val="Normal"/>
    <w:next w:val="Normal"/>
    <w:link w:val="Heading1Char"/>
    <w:uiPriority w:val="9"/>
    <w:qFormat/>
    <w:rsid w:val="001F637F"/>
    <w:pPr>
      <w:keepNext/>
      <w:keepLines/>
      <w:numPr>
        <w:numId w:val="4"/>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21782"/>
    <w:pPr>
      <w:keepNext/>
      <w:keepLines/>
      <w:numPr>
        <w:ilvl w:val="1"/>
        <w:numId w:val="4"/>
      </w:numPr>
      <w:spacing w:before="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E1D20"/>
    <w:pPr>
      <w:keepNext/>
      <w:keepLines/>
      <w:numPr>
        <w:ilvl w:val="2"/>
        <w:numId w:val="4"/>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E1D2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D2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1D2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D2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D2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1D2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Indent1">
    <w:name w:val="Blue Indent 1"/>
    <w:basedOn w:val="Normal"/>
    <w:rsid w:val="00261C28"/>
    <w:pPr>
      <w:spacing w:after="120"/>
      <w:ind w:left="567"/>
      <w:jc w:val="both"/>
    </w:pPr>
    <w:rPr>
      <w:rFonts w:eastAsia="Times New Roman" w:cs="Times New Roman"/>
      <w:bCs/>
      <w:color w:val="0000FF"/>
      <w:sz w:val="20"/>
      <w:szCs w:val="24"/>
    </w:rPr>
  </w:style>
  <w:style w:type="paragraph" w:styleId="ListParagraph">
    <w:name w:val="List Paragraph"/>
    <w:basedOn w:val="Normal"/>
    <w:uiPriority w:val="34"/>
    <w:qFormat/>
    <w:rsid w:val="00794E51"/>
    <w:pPr>
      <w:ind w:left="720"/>
      <w:contextualSpacing/>
    </w:pPr>
  </w:style>
  <w:style w:type="paragraph" w:customStyle="1" w:styleId="ListBulletIndent">
    <w:name w:val="List Bullet Indent"/>
    <w:basedOn w:val="ListBullet"/>
    <w:rsid w:val="009A7BDB"/>
    <w:pPr>
      <w:numPr>
        <w:numId w:val="2"/>
      </w:numPr>
      <w:ind w:left="709" w:hanging="284"/>
    </w:pPr>
  </w:style>
  <w:style w:type="paragraph" w:styleId="ListBullet">
    <w:name w:val="List Bullet"/>
    <w:basedOn w:val="Normal"/>
    <w:link w:val="ListBulletChar"/>
    <w:rsid w:val="009A7BDB"/>
    <w:pPr>
      <w:keepLines/>
      <w:numPr>
        <w:numId w:val="1"/>
      </w:numPr>
      <w:spacing w:before="120"/>
      <w:jc w:val="both"/>
    </w:pPr>
    <w:rPr>
      <w:rFonts w:eastAsia="Times New Roman" w:cs="Times New Roman"/>
      <w:sz w:val="20"/>
      <w:szCs w:val="20"/>
    </w:rPr>
  </w:style>
  <w:style w:type="character" w:customStyle="1" w:styleId="ListBulletChar">
    <w:name w:val="List Bullet Char"/>
    <w:link w:val="ListBullet"/>
    <w:rsid w:val="009A7BDB"/>
    <w:rPr>
      <w:rFonts w:ascii="Arial" w:eastAsia="Times New Roman" w:hAnsi="Arial" w:cs="Times New Roman"/>
      <w:sz w:val="20"/>
      <w:szCs w:val="20"/>
      <w:lang w:val="en-AU"/>
    </w:rPr>
  </w:style>
  <w:style w:type="table" w:styleId="TableGrid">
    <w:name w:val="Table Grid"/>
    <w:basedOn w:val="TableNormal"/>
    <w:uiPriority w:val="59"/>
    <w:rsid w:val="00057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805C0"/>
    <w:rPr>
      <w:sz w:val="16"/>
      <w:szCs w:val="16"/>
    </w:rPr>
  </w:style>
  <w:style w:type="paragraph" w:styleId="CommentText">
    <w:name w:val="annotation text"/>
    <w:basedOn w:val="Normal"/>
    <w:link w:val="CommentTextChar"/>
    <w:uiPriority w:val="99"/>
    <w:semiHidden/>
    <w:unhideWhenUsed/>
    <w:rsid w:val="00D805C0"/>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805C0"/>
    <w:rPr>
      <w:rFonts w:ascii="Calibri" w:eastAsia="Calibri" w:hAnsi="Calibri" w:cs="Times New Roman"/>
      <w:sz w:val="20"/>
      <w:szCs w:val="20"/>
      <w:lang w:val="en-AU"/>
    </w:rPr>
  </w:style>
  <w:style w:type="paragraph" w:customStyle="1" w:styleId="Text">
    <w:name w:val="Text"/>
    <w:aliases w:val="Body,b,body,bullet,bu,b Char Char Char,b Char Char Char Char Char Char,b Char Char,Body Char1 Char1,B,Body1,b Char Char Char Char Char Char Char Char,b Char,bold,bullet1,Bullet,b1,Bullet 1,bullet 1"/>
    <w:basedOn w:val="Normal"/>
    <w:link w:val="TextChar"/>
    <w:rsid w:val="0009051D"/>
    <w:pPr>
      <w:keepLines/>
      <w:spacing w:before="240"/>
      <w:jc w:val="both"/>
    </w:pPr>
    <w:rPr>
      <w:rFonts w:eastAsia="Times New Roman" w:cs="Times New Roman"/>
      <w:sz w:val="20"/>
      <w:szCs w:val="20"/>
    </w:rPr>
  </w:style>
  <w:style w:type="character" w:customStyle="1" w:styleId="TextChar">
    <w:name w:val="Text Char"/>
    <w:aliases w:val="Body Char,b Char1,body Char,bullet Char,bu Char,b Char Char Char Char,b Char Char Char Char Char Char Char,b Char Char Char1,Body Char1 Char1 Char,B Char,Body1 Char,b Char Char Char Char Char Char Char Char Char,b Char Char1,Body Char1,b Char2"/>
    <w:link w:val="Text"/>
    <w:rsid w:val="0009051D"/>
    <w:rPr>
      <w:rFonts w:ascii="Arial" w:eastAsia="Times New Roman" w:hAnsi="Arial" w:cs="Times New Roman"/>
      <w:sz w:val="20"/>
      <w:szCs w:val="20"/>
      <w:lang w:val="en-AU"/>
    </w:rPr>
  </w:style>
  <w:style w:type="character" w:styleId="Hyperlink">
    <w:name w:val="Hyperlink"/>
    <w:basedOn w:val="DefaultParagraphFont"/>
    <w:uiPriority w:val="99"/>
    <w:unhideWhenUsed/>
    <w:rsid w:val="00457076"/>
    <w:rPr>
      <w:color w:val="0000FF" w:themeColor="hyperlink"/>
      <w:u w:val="single"/>
    </w:rPr>
  </w:style>
  <w:style w:type="paragraph" w:styleId="NoSpacing">
    <w:name w:val="No Spacing"/>
    <w:link w:val="NoSpacingChar"/>
    <w:uiPriority w:val="1"/>
    <w:qFormat/>
    <w:rsid w:val="00F50741"/>
    <w:pPr>
      <w:jc w:val="left"/>
    </w:pPr>
    <w:rPr>
      <w:rFonts w:eastAsiaTheme="minorEastAsia"/>
    </w:rPr>
  </w:style>
  <w:style w:type="character" w:customStyle="1" w:styleId="NoSpacingChar">
    <w:name w:val="No Spacing Char"/>
    <w:basedOn w:val="DefaultParagraphFont"/>
    <w:link w:val="NoSpacing"/>
    <w:uiPriority w:val="1"/>
    <w:rsid w:val="00F50741"/>
    <w:rPr>
      <w:rFonts w:eastAsiaTheme="minorEastAsia"/>
    </w:rPr>
  </w:style>
  <w:style w:type="paragraph" w:styleId="Header">
    <w:name w:val="header"/>
    <w:basedOn w:val="Normal"/>
    <w:link w:val="HeaderChar"/>
    <w:uiPriority w:val="99"/>
    <w:unhideWhenUsed/>
    <w:rsid w:val="00F50741"/>
    <w:pPr>
      <w:tabs>
        <w:tab w:val="center" w:pos="4680"/>
        <w:tab w:val="right" w:pos="9360"/>
      </w:tabs>
    </w:pPr>
  </w:style>
  <w:style w:type="character" w:customStyle="1" w:styleId="HeaderChar">
    <w:name w:val="Header Char"/>
    <w:basedOn w:val="DefaultParagraphFont"/>
    <w:link w:val="Header"/>
    <w:uiPriority w:val="99"/>
    <w:rsid w:val="00F50741"/>
    <w:rPr>
      <w:lang w:val="en-AU"/>
    </w:rPr>
  </w:style>
  <w:style w:type="paragraph" w:styleId="Footer">
    <w:name w:val="footer"/>
    <w:basedOn w:val="Normal"/>
    <w:link w:val="FooterChar"/>
    <w:uiPriority w:val="99"/>
    <w:unhideWhenUsed/>
    <w:rsid w:val="00F50741"/>
    <w:pPr>
      <w:tabs>
        <w:tab w:val="center" w:pos="4680"/>
        <w:tab w:val="right" w:pos="9360"/>
      </w:tabs>
    </w:pPr>
  </w:style>
  <w:style w:type="character" w:customStyle="1" w:styleId="FooterChar">
    <w:name w:val="Footer Char"/>
    <w:basedOn w:val="DefaultParagraphFont"/>
    <w:link w:val="Footer"/>
    <w:uiPriority w:val="99"/>
    <w:rsid w:val="00F50741"/>
    <w:rPr>
      <w:lang w:val="en-AU"/>
    </w:rPr>
  </w:style>
  <w:style w:type="character" w:customStyle="1" w:styleId="Heading1Char">
    <w:name w:val="Heading 1 Char"/>
    <w:basedOn w:val="DefaultParagraphFont"/>
    <w:link w:val="Heading1"/>
    <w:uiPriority w:val="9"/>
    <w:rsid w:val="001F637F"/>
    <w:rPr>
      <w:rFonts w:ascii="Arial" w:eastAsiaTheme="majorEastAsia" w:hAnsi="Arial" w:cstheme="majorBidi"/>
      <w:b/>
      <w:bCs/>
      <w:sz w:val="28"/>
      <w:szCs w:val="28"/>
      <w:lang w:val="en-AU"/>
    </w:rPr>
  </w:style>
  <w:style w:type="paragraph" w:styleId="TOCHeading">
    <w:name w:val="TOC Heading"/>
    <w:basedOn w:val="Heading1"/>
    <w:next w:val="Normal"/>
    <w:uiPriority w:val="39"/>
    <w:semiHidden/>
    <w:unhideWhenUsed/>
    <w:qFormat/>
    <w:rsid w:val="003F1494"/>
    <w:pPr>
      <w:spacing w:line="276" w:lineRule="auto"/>
      <w:outlineLvl w:val="9"/>
    </w:pPr>
    <w:rPr>
      <w:lang w:val="en-US"/>
    </w:rPr>
  </w:style>
  <w:style w:type="paragraph" w:styleId="TOC1">
    <w:name w:val="toc 1"/>
    <w:basedOn w:val="Normal"/>
    <w:next w:val="Normal"/>
    <w:autoRedefine/>
    <w:uiPriority w:val="39"/>
    <w:unhideWhenUsed/>
    <w:qFormat/>
    <w:rsid w:val="003F1494"/>
    <w:pPr>
      <w:spacing w:after="100"/>
    </w:pPr>
  </w:style>
  <w:style w:type="character" w:customStyle="1" w:styleId="Heading2Char">
    <w:name w:val="Heading 2 Char"/>
    <w:basedOn w:val="DefaultParagraphFont"/>
    <w:link w:val="Heading2"/>
    <w:uiPriority w:val="9"/>
    <w:rsid w:val="00C21782"/>
    <w:rPr>
      <w:rFonts w:ascii="Arial" w:eastAsiaTheme="majorEastAsia" w:hAnsi="Arial" w:cstheme="majorBidi"/>
      <w:b/>
      <w:bCs/>
      <w:sz w:val="26"/>
      <w:szCs w:val="26"/>
      <w:lang w:val="en-AU"/>
    </w:rPr>
  </w:style>
  <w:style w:type="paragraph" w:styleId="TOC2">
    <w:name w:val="toc 2"/>
    <w:basedOn w:val="Normal"/>
    <w:next w:val="Normal"/>
    <w:autoRedefine/>
    <w:uiPriority w:val="39"/>
    <w:unhideWhenUsed/>
    <w:qFormat/>
    <w:rsid w:val="00BC75B7"/>
    <w:pPr>
      <w:spacing w:after="100"/>
      <w:ind w:left="220"/>
    </w:pPr>
  </w:style>
  <w:style w:type="paragraph" w:styleId="BalloonText">
    <w:name w:val="Balloon Text"/>
    <w:basedOn w:val="Normal"/>
    <w:link w:val="BalloonTextChar"/>
    <w:uiPriority w:val="99"/>
    <w:semiHidden/>
    <w:unhideWhenUsed/>
    <w:rsid w:val="00CC0C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C02"/>
    <w:rPr>
      <w:rFonts w:ascii="Lucida Grande" w:hAnsi="Lucida Grande" w:cs="Lucida Grande"/>
      <w:sz w:val="18"/>
      <w:szCs w:val="18"/>
      <w:lang w:val="en-AU"/>
    </w:rPr>
  </w:style>
  <w:style w:type="character" w:customStyle="1" w:styleId="Heading3Char">
    <w:name w:val="Heading 3 Char"/>
    <w:basedOn w:val="DefaultParagraphFont"/>
    <w:link w:val="Heading3"/>
    <w:uiPriority w:val="9"/>
    <w:rsid w:val="004E1D20"/>
    <w:rPr>
      <w:rFonts w:ascii="Arial" w:eastAsiaTheme="majorEastAsia" w:hAnsi="Arial" w:cstheme="majorBidi"/>
      <w:b/>
      <w:bCs/>
      <w:lang w:val="en-AU"/>
    </w:rPr>
  </w:style>
  <w:style w:type="character" w:styleId="IntenseReference">
    <w:name w:val="Intense Reference"/>
    <w:basedOn w:val="DefaultParagraphFont"/>
    <w:uiPriority w:val="32"/>
    <w:qFormat/>
    <w:rsid w:val="00795D16"/>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4E1D20"/>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uiPriority w:val="9"/>
    <w:semiHidden/>
    <w:rsid w:val="004E1D20"/>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uiPriority w:val="9"/>
    <w:semiHidden/>
    <w:rsid w:val="004E1D20"/>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4E1D20"/>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4E1D20"/>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4E1D20"/>
    <w:rPr>
      <w:rFonts w:asciiTheme="majorHAnsi" w:eastAsiaTheme="majorEastAsia" w:hAnsiTheme="majorHAnsi" w:cstheme="majorBidi"/>
      <w:i/>
      <w:iCs/>
      <w:color w:val="404040" w:themeColor="text1" w:themeTint="BF"/>
      <w:sz w:val="20"/>
      <w:szCs w:val="20"/>
      <w:lang w:val="en-AU"/>
    </w:rPr>
  </w:style>
  <w:style w:type="paragraph" w:styleId="CommentSubject">
    <w:name w:val="annotation subject"/>
    <w:basedOn w:val="CommentText"/>
    <w:next w:val="CommentText"/>
    <w:link w:val="CommentSubjectChar"/>
    <w:uiPriority w:val="99"/>
    <w:semiHidden/>
    <w:unhideWhenUsed/>
    <w:rsid w:val="00D476CD"/>
    <w:pPr>
      <w:spacing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476CD"/>
    <w:rPr>
      <w:rFonts w:ascii="Arial" w:eastAsia="Calibri" w:hAnsi="Arial" w:cs="Times New Roman"/>
      <w:b/>
      <w:bCs/>
      <w:sz w:val="20"/>
      <w:szCs w:val="20"/>
      <w:lang w:val="en-AU"/>
    </w:rPr>
  </w:style>
  <w:style w:type="paragraph" w:styleId="Caption">
    <w:name w:val="caption"/>
    <w:basedOn w:val="Normal"/>
    <w:next w:val="Normal"/>
    <w:uiPriority w:val="35"/>
    <w:unhideWhenUsed/>
    <w:qFormat/>
    <w:rsid w:val="00F11EDA"/>
    <w:pPr>
      <w:spacing w:after="200" w:line="240" w:lineRule="auto"/>
    </w:pPr>
    <w:rPr>
      <w:b/>
      <w:bCs/>
      <w:color w:val="4F81BD" w:themeColor="accent1"/>
      <w:sz w:val="18"/>
      <w:szCs w:val="18"/>
    </w:rPr>
  </w:style>
  <w:style w:type="paragraph" w:styleId="Revision">
    <w:name w:val="Revision"/>
    <w:hidden/>
    <w:uiPriority w:val="99"/>
    <w:semiHidden/>
    <w:rsid w:val="00755B1A"/>
    <w:pPr>
      <w:jc w:val="left"/>
    </w:pPr>
    <w:rPr>
      <w:rFonts w:ascii="Arial" w:hAnsi="Arial"/>
      <w:lang w:val="en-AU"/>
    </w:rPr>
  </w:style>
  <w:style w:type="paragraph" w:styleId="TOC3">
    <w:name w:val="toc 3"/>
    <w:basedOn w:val="Normal"/>
    <w:next w:val="Normal"/>
    <w:autoRedefine/>
    <w:uiPriority w:val="39"/>
    <w:unhideWhenUsed/>
    <w:qFormat/>
    <w:rsid w:val="00241E3B"/>
    <w:pPr>
      <w:spacing w:after="100"/>
      <w:ind w:left="440"/>
    </w:pPr>
  </w:style>
  <w:style w:type="paragraph" w:styleId="DocumentMap">
    <w:name w:val="Document Map"/>
    <w:basedOn w:val="Normal"/>
    <w:link w:val="DocumentMapChar"/>
    <w:uiPriority w:val="99"/>
    <w:semiHidden/>
    <w:unhideWhenUsed/>
    <w:rsid w:val="007775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75D4"/>
    <w:rPr>
      <w:rFonts w:ascii="Tahoma" w:hAnsi="Tahoma" w:cs="Tahoma"/>
      <w:sz w:val="16"/>
      <w:szCs w:val="16"/>
      <w:lang w:val="en-AU"/>
    </w:rPr>
  </w:style>
  <w:style w:type="paragraph" w:customStyle="1" w:styleId="Default">
    <w:name w:val="Default"/>
    <w:rsid w:val="00DF01A6"/>
    <w:pPr>
      <w:autoSpaceDE w:val="0"/>
      <w:autoSpaceDN w:val="0"/>
      <w:adjustRightInd w:val="0"/>
      <w:jc w:val="left"/>
    </w:pPr>
    <w:rPr>
      <w:rFonts w:ascii="Futura Std Light" w:hAnsi="Futura Std Light" w:cs="Futura Std Light"/>
      <w:color w:val="000000"/>
      <w:sz w:val="24"/>
      <w:szCs w:val="24"/>
      <w:lang w:val="en-AU"/>
    </w:rPr>
  </w:style>
  <w:style w:type="character" w:customStyle="1" w:styleId="A9">
    <w:name w:val="A9"/>
    <w:uiPriority w:val="99"/>
    <w:rsid w:val="00DF01A6"/>
    <w:rPr>
      <w:rFonts w:ascii="Symbol" w:hAnsi="Symbol" w:cs="Symbol"/>
      <w:color w:val="221E1F"/>
    </w:rPr>
  </w:style>
  <w:style w:type="paragraph" w:styleId="FootnoteText">
    <w:name w:val="footnote text"/>
    <w:basedOn w:val="Normal"/>
    <w:link w:val="FootnoteTextChar"/>
    <w:uiPriority w:val="99"/>
    <w:semiHidden/>
    <w:unhideWhenUsed/>
    <w:rsid w:val="006D182D"/>
    <w:pPr>
      <w:spacing w:line="240" w:lineRule="auto"/>
    </w:pPr>
    <w:rPr>
      <w:sz w:val="20"/>
      <w:szCs w:val="20"/>
    </w:rPr>
  </w:style>
  <w:style w:type="character" w:customStyle="1" w:styleId="FootnoteTextChar">
    <w:name w:val="Footnote Text Char"/>
    <w:basedOn w:val="DefaultParagraphFont"/>
    <w:link w:val="FootnoteText"/>
    <w:uiPriority w:val="99"/>
    <w:semiHidden/>
    <w:rsid w:val="006D182D"/>
    <w:rPr>
      <w:rFonts w:ascii="Arial" w:hAnsi="Arial"/>
      <w:sz w:val="20"/>
      <w:szCs w:val="20"/>
      <w:lang w:val="en-AU"/>
    </w:rPr>
  </w:style>
  <w:style w:type="character" w:styleId="FootnoteReference">
    <w:name w:val="footnote reference"/>
    <w:basedOn w:val="DefaultParagraphFont"/>
    <w:uiPriority w:val="99"/>
    <w:semiHidden/>
    <w:unhideWhenUsed/>
    <w:rsid w:val="006D182D"/>
    <w:rPr>
      <w:vertAlign w:val="superscript"/>
    </w:rPr>
  </w:style>
  <w:style w:type="character" w:styleId="Emphasis">
    <w:name w:val="Emphasis"/>
    <w:basedOn w:val="DefaultParagraphFont"/>
    <w:uiPriority w:val="20"/>
    <w:qFormat/>
    <w:rsid w:val="00274CE9"/>
    <w:rPr>
      <w:rFonts w:ascii="Arial" w:hAnsi="Arial"/>
      <w:i/>
      <w:iCs/>
      <w:color w:val="262626" w:themeColor="text1" w:themeTint="D9"/>
      <w:sz w:val="24"/>
    </w:rPr>
  </w:style>
  <w:style w:type="character" w:styleId="FollowedHyperlink">
    <w:name w:val="FollowedHyperlink"/>
    <w:basedOn w:val="DefaultParagraphFont"/>
    <w:uiPriority w:val="99"/>
    <w:semiHidden/>
    <w:unhideWhenUsed/>
    <w:rsid w:val="003779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3B"/>
    <w:pPr>
      <w:spacing w:line="264" w:lineRule="auto"/>
      <w:jc w:val="left"/>
    </w:pPr>
    <w:rPr>
      <w:rFonts w:ascii="Arial" w:hAnsi="Arial"/>
      <w:lang w:val="en-AU"/>
    </w:rPr>
  </w:style>
  <w:style w:type="paragraph" w:styleId="Heading1">
    <w:name w:val="heading 1"/>
    <w:basedOn w:val="Normal"/>
    <w:next w:val="Normal"/>
    <w:link w:val="Heading1Char"/>
    <w:uiPriority w:val="9"/>
    <w:qFormat/>
    <w:rsid w:val="001F637F"/>
    <w:pPr>
      <w:keepNext/>
      <w:keepLines/>
      <w:numPr>
        <w:numId w:val="4"/>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21782"/>
    <w:pPr>
      <w:keepNext/>
      <w:keepLines/>
      <w:numPr>
        <w:ilvl w:val="1"/>
        <w:numId w:val="4"/>
      </w:numPr>
      <w:spacing w:before="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E1D20"/>
    <w:pPr>
      <w:keepNext/>
      <w:keepLines/>
      <w:numPr>
        <w:ilvl w:val="2"/>
        <w:numId w:val="4"/>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E1D2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D2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1D2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D2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D2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1D2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Indent1">
    <w:name w:val="Blue Indent 1"/>
    <w:basedOn w:val="Normal"/>
    <w:rsid w:val="00261C28"/>
    <w:pPr>
      <w:spacing w:after="120"/>
      <w:ind w:left="567"/>
      <w:jc w:val="both"/>
    </w:pPr>
    <w:rPr>
      <w:rFonts w:eastAsia="Times New Roman" w:cs="Times New Roman"/>
      <w:bCs/>
      <w:color w:val="0000FF"/>
      <w:sz w:val="20"/>
      <w:szCs w:val="24"/>
    </w:rPr>
  </w:style>
  <w:style w:type="paragraph" w:styleId="ListParagraph">
    <w:name w:val="List Paragraph"/>
    <w:basedOn w:val="Normal"/>
    <w:uiPriority w:val="34"/>
    <w:qFormat/>
    <w:rsid w:val="00794E51"/>
    <w:pPr>
      <w:ind w:left="720"/>
      <w:contextualSpacing/>
    </w:pPr>
  </w:style>
  <w:style w:type="paragraph" w:customStyle="1" w:styleId="ListBulletIndent">
    <w:name w:val="List Bullet Indent"/>
    <w:basedOn w:val="ListBullet"/>
    <w:rsid w:val="009A7BDB"/>
    <w:pPr>
      <w:numPr>
        <w:numId w:val="2"/>
      </w:numPr>
      <w:ind w:left="709" w:hanging="284"/>
    </w:pPr>
  </w:style>
  <w:style w:type="paragraph" w:styleId="ListBullet">
    <w:name w:val="List Bullet"/>
    <w:basedOn w:val="Normal"/>
    <w:link w:val="ListBulletChar"/>
    <w:rsid w:val="009A7BDB"/>
    <w:pPr>
      <w:keepLines/>
      <w:numPr>
        <w:numId w:val="1"/>
      </w:numPr>
      <w:spacing w:before="120"/>
      <w:jc w:val="both"/>
    </w:pPr>
    <w:rPr>
      <w:rFonts w:eastAsia="Times New Roman" w:cs="Times New Roman"/>
      <w:sz w:val="20"/>
      <w:szCs w:val="20"/>
    </w:rPr>
  </w:style>
  <w:style w:type="character" w:customStyle="1" w:styleId="ListBulletChar">
    <w:name w:val="List Bullet Char"/>
    <w:link w:val="ListBullet"/>
    <w:rsid w:val="009A7BDB"/>
    <w:rPr>
      <w:rFonts w:ascii="Arial" w:eastAsia="Times New Roman" w:hAnsi="Arial" w:cs="Times New Roman"/>
      <w:sz w:val="20"/>
      <w:szCs w:val="20"/>
      <w:lang w:val="en-AU"/>
    </w:rPr>
  </w:style>
  <w:style w:type="table" w:styleId="TableGrid">
    <w:name w:val="Table Grid"/>
    <w:basedOn w:val="TableNormal"/>
    <w:uiPriority w:val="59"/>
    <w:rsid w:val="00057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805C0"/>
    <w:rPr>
      <w:sz w:val="16"/>
      <w:szCs w:val="16"/>
    </w:rPr>
  </w:style>
  <w:style w:type="paragraph" w:styleId="CommentText">
    <w:name w:val="annotation text"/>
    <w:basedOn w:val="Normal"/>
    <w:link w:val="CommentTextChar"/>
    <w:uiPriority w:val="99"/>
    <w:semiHidden/>
    <w:unhideWhenUsed/>
    <w:rsid w:val="00D805C0"/>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805C0"/>
    <w:rPr>
      <w:rFonts w:ascii="Calibri" w:eastAsia="Calibri" w:hAnsi="Calibri" w:cs="Times New Roman"/>
      <w:sz w:val="20"/>
      <w:szCs w:val="20"/>
      <w:lang w:val="en-AU"/>
    </w:rPr>
  </w:style>
  <w:style w:type="paragraph" w:customStyle="1" w:styleId="Text">
    <w:name w:val="Text"/>
    <w:aliases w:val="Body,b,body,bullet,bu,b Char Char Char,b Char Char Char Char Char Char,b Char Char,Body Char1 Char1,B,Body1,b Char Char Char Char Char Char Char Char,b Char,bold,bullet1,Bullet,b1,Bullet 1,bullet 1"/>
    <w:basedOn w:val="Normal"/>
    <w:link w:val="TextChar"/>
    <w:rsid w:val="0009051D"/>
    <w:pPr>
      <w:keepLines/>
      <w:spacing w:before="240"/>
      <w:jc w:val="both"/>
    </w:pPr>
    <w:rPr>
      <w:rFonts w:eastAsia="Times New Roman" w:cs="Times New Roman"/>
      <w:sz w:val="20"/>
      <w:szCs w:val="20"/>
    </w:rPr>
  </w:style>
  <w:style w:type="character" w:customStyle="1" w:styleId="TextChar">
    <w:name w:val="Text Char"/>
    <w:aliases w:val="Body Char,b Char1,body Char,bullet Char,bu Char,b Char Char Char Char,b Char Char Char Char Char Char Char,b Char Char Char1,Body Char1 Char1 Char,B Char,Body1 Char,b Char Char Char Char Char Char Char Char Char,b Char Char1,Body Char1,b Char2"/>
    <w:link w:val="Text"/>
    <w:rsid w:val="0009051D"/>
    <w:rPr>
      <w:rFonts w:ascii="Arial" w:eastAsia="Times New Roman" w:hAnsi="Arial" w:cs="Times New Roman"/>
      <w:sz w:val="20"/>
      <w:szCs w:val="20"/>
      <w:lang w:val="en-AU"/>
    </w:rPr>
  </w:style>
  <w:style w:type="character" w:styleId="Hyperlink">
    <w:name w:val="Hyperlink"/>
    <w:basedOn w:val="DefaultParagraphFont"/>
    <w:uiPriority w:val="99"/>
    <w:unhideWhenUsed/>
    <w:rsid w:val="00457076"/>
    <w:rPr>
      <w:color w:val="0000FF" w:themeColor="hyperlink"/>
      <w:u w:val="single"/>
    </w:rPr>
  </w:style>
  <w:style w:type="paragraph" w:styleId="NoSpacing">
    <w:name w:val="No Spacing"/>
    <w:link w:val="NoSpacingChar"/>
    <w:uiPriority w:val="1"/>
    <w:qFormat/>
    <w:rsid w:val="00F50741"/>
    <w:pPr>
      <w:jc w:val="left"/>
    </w:pPr>
    <w:rPr>
      <w:rFonts w:eastAsiaTheme="minorEastAsia"/>
    </w:rPr>
  </w:style>
  <w:style w:type="character" w:customStyle="1" w:styleId="NoSpacingChar">
    <w:name w:val="No Spacing Char"/>
    <w:basedOn w:val="DefaultParagraphFont"/>
    <w:link w:val="NoSpacing"/>
    <w:uiPriority w:val="1"/>
    <w:rsid w:val="00F50741"/>
    <w:rPr>
      <w:rFonts w:eastAsiaTheme="minorEastAsia"/>
    </w:rPr>
  </w:style>
  <w:style w:type="paragraph" w:styleId="Header">
    <w:name w:val="header"/>
    <w:basedOn w:val="Normal"/>
    <w:link w:val="HeaderChar"/>
    <w:uiPriority w:val="99"/>
    <w:unhideWhenUsed/>
    <w:rsid w:val="00F50741"/>
    <w:pPr>
      <w:tabs>
        <w:tab w:val="center" w:pos="4680"/>
        <w:tab w:val="right" w:pos="9360"/>
      </w:tabs>
    </w:pPr>
  </w:style>
  <w:style w:type="character" w:customStyle="1" w:styleId="HeaderChar">
    <w:name w:val="Header Char"/>
    <w:basedOn w:val="DefaultParagraphFont"/>
    <w:link w:val="Header"/>
    <w:uiPriority w:val="99"/>
    <w:rsid w:val="00F50741"/>
    <w:rPr>
      <w:lang w:val="en-AU"/>
    </w:rPr>
  </w:style>
  <w:style w:type="paragraph" w:styleId="Footer">
    <w:name w:val="footer"/>
    <w:basedOn w:val="Normal"/>
    <w:link w:val="FooterChar"/>
    <w:uiPriority w:val="99"/>
    <w:unhideWhenUsed/>
    <w:rsid w:val="00F50741"/>
    <w:pPr>
      <w:tabs>
        <w:tab w:val="center" w:pos="4680"/>
        <w:tab w:val="right" w:pos="9360"/>
      </w:tabs>
    </w:pPr>
  </w:style>
  <w:style w:type="character" w:customStyle="1" w:styleId="FooterChar">
    <w:name w:val="Footer Char"/>
    <w:basedOn w:val="DefaultParagraphFont"/>
    <w:link w:val="Footer"/>
    <w:uiPriority w:val="99"/>
    <w:rsid w:val="00F50741"/>
    <w:rPr>
      <w:lang w:val="en-AU"/>
    </w:rPr>
  </w:style>
  <w:style w:type="character" w:customStyle="1" w:styleId="Heading1Char">
    <w:name w:val="Heading 1 Char"/>
    <w:basedOn w:val="DefaultParagraphFont"/>
    <w:link w:val="Heading1"/>
    <w:uiPriority w:val="9"/>
    <w:rsid w:val="001F637F"/>
    <w:rPr>
      <w:rFonts w:ascii="Arial" w:eastAsiaTheme="majorEastAsia" w:hAnsi="Arial" w:cstheme="majorBidi"/>
      <w:b/>
      <w:bCs/>
      <w:sz w:val="28"/>
      <w:szCs w:val="28"/>
      <w:lang w:val="en-AU"/>
    </w:rPr>
  </w:style>
  <w:style w:type="paragraph" w:styleId="TOCHeading">
    <w:name w:val="TOC Heading"/>
    <w:basedOn w:val="Heading1"/>
    <w:next w:val="Normal"/>
    <w:uiPriority w:val="39"/>
    <w:semiHidden/>
    <w:unhideWhenUsed/>
    <w:qFormat/>
    <w:rsid w:val="003F1494"/>
    <w:pPr>
      <w:spacing w:line="276" w:lineRule="auto"/>
      <w:outlineLvl w:val="9"/>
    </w:pPr>
    <w:rPr>
      <w:lang w:val="en-US"/>
    </w:rPr>
  </w:style>
  <w:style w:type="paragraph" w:styleId="TOC1">
    <w:name w:val="toc 1"/>
    <w:basedOn w:val="Normal"/>
    <w:next w:val="Normal"/>
    <w:autoRedefine/>
    <w:uiPriority w:val="39"/>
    <w:unhideWhenUsed/>
    <w:qFormat/>
    <w:rsid w:val="003F1494"/>
    <w:pPr>
      <w:spacing w:after="100"/>
    </w:pPr>
  </w:style>
  <w:style w:type="character" w:customStyle="1" w:styleId="Heading2Char">
    <w:name w:val="Heading 2 Char"/>
    <w:basedOn w:val="DefaultParagraphFont"/>
    <w:link w:val="Heading2"/>
    <w:uiPriority w:val="9"/>
    <w:rsid w:val="00C21782"/>
    <w:rPr>
      <w:rFonts w:ascii="Arial" w:eastAsiaTheme="majorEastAsia" w:hAnsi="Arial" w:cstheme="majorBidi"/>
      <w:b/>
      <w:bCs/>
      <w:sz w:val="26"/>
      <w:szCs w:val="26"/>
      <w:lang w:val="en-AU"/>
    </w:rPr>
  </w:style>
  <w:style w:type="paragraph" w:styleId="TOC2">
    <w:name w:val="toc 2"/>
    <w:basedOn w:val="Normal"/>
    <w:next w:val="Normal"/>
    <w:autoRedefine/>
    <w:uiPriority w:val="39"/>
    <w:unhideWhenUsed/>
    <w:qFormat/>
    <w:rsid w:val="00BC75B7"/>
    <w:pPr>
      <w:spacing w:after="100"/>
      <w:ind w:left="220"/>
    </w:pPr>
  </w:style>
  <w:style w:type="paragraph" w:styleId="BalloonText">
    <w:name w:val="Balloon Text"/>
    <w:basedOn w:val="Normal"/>
    <w:link w:val="BalloonTextChar"/>
    <w:uiPriority w:val="99"/>
    <w:semiHidden/>
    <w:unhideWhenUsed/>
    <w:rsid w:val="00CC0C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C02"/>
    <w:rPr>
      <w:rFonts w:ascii="Lucida Grande" w:hAnsi="Lucida Grande" w:cs="Lucida Grande"/>
      <w:sz w:val="18"/>
      <w:szCs w:val="18"/>
      <w:lang w:val="en-AU"/>
    </w:rPr>
  </w:style>
  <w:style w:type="character" w:customStyle="1" w:styleId="Heading3Char">
    <w:name w:val="Heading 3 Char"/>
    <w:basedOn w:val="DefaultParagraphFont"/>
    <w:link w:val="Heading3"/>
    <w:uiPriority w:val="9"/>
    <w:rsid w:val="004E1D20"/>
    <w:rPr>
      <w:rFonts w:ascii="Arial" w:eastAsiaTheme="majorEastAsia" w:hAnsi="Arial" w:cstheme="majorBidi"/>
      <w:b/>
      <w:bCs/>
      <w:lang w:val="en-AU"/>
    </w:rPr>
  </w:style>
  <w:style w:type="character" w:styleId="IntenseReference">
    <w:name w:val="Intense Reference"/>
    <w:basedOn w:val="DefaultParagraphFont"/>
    <w:uiPriority w:val="32"/>
    <w:qFormat/>
    <w:rsid w:val="00795D16"/>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4E1D20"/>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uiPriority w:val="9"/>
    <w:semiHidden/>
    <w:rsid w:val="004E1D20"/>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uiPriority w:val="9"/>
    <w:semiHidden/>
    <w:rsid w:val="004E1D20"/>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4E1D20"/>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4E1D20"/>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4E1D20"/>
    <w:rPr>
      <w:rFonts w:asciiTheme="majorHAnsi" w:eastAsiaTheme="majorEastAsia" w:hAnsiTheme="majorHAnsi" w:cstheme="majorBidi"/>
      <w:i/>
      <w:iCs/>
      <w:color w:val="404040" w:themeColor="text1" w:themeTint="BF"/>
      <w:sz w:val="20"/>
      <w:szCs w:val="20"/>
      <w:lang w:val="en-AU"/>
    </w:rPr>
  </w:style>
  <w:style w:type="paragraph" w:styleId="CommentSubject">
    <w:name w:val="annotation subject"/>
    <w:basedOn w:val="CommentText"/>
    <w:next w:val="CommentText"/>
    <w:link w:val="CommentSubjectChar"/>
    <w:uiPriority w:val="99"/>
    <w:semiHidden/>
    <w:unhideWhenUsed/>
    <w:rsid w:val="00D476CD"/>
    <w:pPr>
      <w:spacing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476CD"/>
    <w:rPr>
      <w:rFonts w:ascii="Arial" w:eastAsia="Calibri" w:hAnsi="Arial" w:cs="Times New Roman"/>
      <w:b/>
      <w:bCs/>
      <w:sz w:val="20"/>
      <w:szCs w:val="20"/>
      <w:lang w:val="en-AU"/>
    </w:rPr>
  </w:style>
  <w:style w:type="paragraph" w:styleId="Caption">
    <w:name w:val="caption"/>
    <w:basedOn w:val="Normal"/>
    <w:next w:val="Normal"/>
    <w:uiPriority w:val="35"/>
    <w:unhideWhenUsed/>
    <w:qFormat/>
    <w:rsid w:val="00F11EDA"/>
    <w:pPr>
      <w:spacing w:after="200" w:line="240" w:lineRule="auto"/>
    </w:pPr>
    <w:rPr>
      <w:b/>
      <w:bCs/>
      <w:color w:val="4F81BD" w:themeColor="accent1"/>
      <w:sz w:val="18"/>
      <w:szCs w:val="18"/>
    </w:rPr>
  </w:style>
  <w:style w:type="paragraph" w:styleId="Revision">
    <w:name w:val="Revision"/>
    <w:hidden/>
    <w:uiPriority w:val="99"/>
    <w:semiHidden/>
    <w:rsid w:val="00755B1A"/>
    <w:pPr>
      <w:jc w:val="left"/>
    </w:pPr>
    <w:rPr>
      <w:rFonts w:ascii="Arial" w:hAnsi="Arial"/>
      <w:lang w:val="en-AU"/>
    </w:rPr>
  </w:style>
  <w:style w:type="paragraph" w:styleId="TOC3">
    <w:name w:val="toc 3"/>
    <w:basedOn w:val="Normal"/>
    <w:next w:val="Normal"/>
    <w:autoRedefine/>
    <w:uiPriority w:val="39"/>
    <w:unhideWhenUsed/>
    <w:qFormat/>
    <w:rsid w:val="00241E3B"/>
    <w:pPr>
      <w:spacing w:after="100"/>
      <w:ind w:left="440"/>
    </w:pPr>
  </w:style>
  <w:style w:type="paragraph" w:styleId="DocumentMap">
    <w:name w:val="Document Map"/>
    <w:basedOn w:val="Normal"/>
    <w:link w:val="DocumentMapChar"/>
    <w:uiPriority w:val="99"/>
    <w:semiHidden/>
    <w:unhideWhenUsed/>
    <w:rsid w:val="007775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75D4"/>
    <w:rPr>
      <w:rFonts w:ascii="Tahoma" w:hAnsi="Tahoma" w:cs="Tahoma"/>
      <w:sz w:val="16"/>
      <w:szCs w:val="16"/>
      <w:lang w:val="en-AU"/>
    </w:rPr>
  </w:style>
  <w:style w:type="paragraph" w:customStyle="1" w:styleId="Default">
    <w:name w:val="Default"/>
    <w:rsid w:val="00DF01A6"/>
    <w:pPr>
      <w:autoSpaceDE w:val="0"/>
      <w:autoSpaceDN w:val="0"/>
      <w:adjustRightInd w:val="0"/>
      <w:jc w:val="left"/>
    </w:pPr>
    <w:rPr>
      <w:rFonts w:ascii="Futura Std Light" w:hAnsi="Futura Std Light" w:cs="Futura Std Light"/>
      <w:color w:val="000000"/>
      <w:sz w:val="24"/>
      <w:szCs w:val="24"/>
      <w:lang w:val="en-AU"/>
    </w:rPr>
  </w:style>
  <w:style w:type="character" w:customStyle="1" w:styleId="A9">
    <w:name w:val="A9"/>
    <w:uiPriority w:val="99"/>
    <w:rsid w:val="00DF01A6"/>
    <w:rPr>
      <w:rFonts w:ascii="Symbol" w:hAnsi="Symbol" w:cs="Symbol"/>
      <w:color w:val="221E1F"/>
    </w:rPr>
  </w:style>
  <w:style w:type="paragraph" w:styleId="FootnoteText">
    <w:name w:val="footnote text"/>
    <w:basedOn w:val="Normal"/>
    <w:link w:val="FootnoteTextChar"/>
    <w:uiPriority w:val="99"/>
    <w:semiHidden/>
    <w:unhideWhenUsed/>
    <w:rsid w:val="006D182D"/>
    <w:pPr>
      <w:spacing w:line="240" w:lineRule="auto"/>
    </w:pPr>
    <w:rPr>
      <w:sz w:val="20"/>
      <w:szCs w:val="20"/>
    </w:rPr>
  </w:style>
  <w:style w:type="character" w:customStyle="1" w:styleId="FootnoteTextChar">
    <w:name w:val="Footnote Text Char"/>
    <w:basedOn w:val="DefaultParagraphFont"/>
    <w:link w:val="FootnoteText"/>
    <w:uiPriority w:val="99"/>
    <w:semiHidden/>
    <w:rsid w:val="006D182D"/>
    <w:rPr>
      <w:rFonts w:ascii="Arial" w:hAnsi="Arial"/>
      <w:sz w:val="20"/>
      <w:szCs w:val="20"/>
      <w:lang w:val="en-AU"/>
    </w:rPr>
  </w:style>
  <w:style w:type="character" w:styleId="FootnoteReference">
    <w:name w:val="footnote reference"/>
    <w:basedOn w:val="DefaultParagraphFont"/>
    <w:uiPriority w:val="99"/>
    <w:semiHidden/>
    <w:unhideWhenUsed/>
    <w:rsid w:val="006D182D"/>
    <w:rPr>
      <w:vertAlign w:val="superscript"/>
    </w:rPr>
  </w:style>
  <w:style w:type="character" w:styleId="Emphasis">
    <w:name w:val="Emphasis"/>
    <w:basedOn w:val="DefaultParagraphFont"/>
    <w:uiPriority w:val="20"/>
    <w:qFormat/>
    <w:rsid w:val="00274CE9"/>
    <w:rPr>
      <w:rFonts w:ascii="Arial" w:hAnsi="Arial"/>
      <w:i/>
      <w:iCs/>
      <w:color w:val="262626" w:themeColor="text1" w:themeTint="D9"/>
      <w:sz w:val="24"/>
    </w:rPr>
  </w:style>
  <w:style w:type="character" w:styleId="FollowedHyperlink">
    <w:name w:val="FollowedHyperlink"/>
    <w:basedOn w:val="DefaultParagraphFont"/>
    <w:uiPriority w:val="99"/>
    <w:semiHidden/>
    <w:unhideWhenUsed/>
    <w:rsid w:val="00377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6991">
      <w:bodyDiv w:val="1"/>
      <w:marLeft w:val="0"/>
      <w:marRight w:val="0"/>
      <w:marTop w:val="0"/>
      <w:marBottom w:val="0"/>
      <w:divBdr>
        <w:top w:val="none" w:sz="0" w:space="0" w:color="auto"/>
        <w:left w:val="none" w:sz="0" w:space="0" w:color="auto"/>
        <w:bottom w:val="none" w:sz="0" w:space="0" w:color="auto"/>
        <w:right w:val="none" w:sz="0" w:space="0" w:color="auto"/>
      </w:divBdr>
    </w:div>
    <w:div w:id="770324669">
      <w:bodyDiv w:val="1"/>
      <w:marLeft w:val="0"/>
      <w:marRight w:val="0"/>
      <w:marTop w:val="0"/>
      <w:marBottom w:val="0"/>
      <w:divBdr>
        <w:top w:val="none" w:sz="0" w:space="0" w:color="auto"/>
        <w:left w:val="none" w:sz="0" w:space="0" w:color="auto"/>
        <w:bottom w:val="none" w:sz="0" w:space="0" w:color="auto"/>
        <w:right w:val="none" w:sz="0" w:space="0" w:color="auto"/>
      </w:divBdr>
      <w:divsChild>
        <w:div w:id="1129130718">
          <w:marLeft w:val="0"/>
          <w:marRight w:val="0"/>
          <w:marTop w:val="0"/>
          <w:marBottom w:val="0"/>
          <w:divBdr>
            <w:top w:val="none" w:sz="0" w:space="0" w:color="auto"/>
            <w:left w:val="none" w:sz="0" w:space="0" w:color="auto"/>
            <w:bottom w:val="none" w:sz="0" w:space="0" w:color="auto"/>
            <w:right w:val="none" w:sz="0" w:space="0" w:color="auto"/>
          </w:divBdr>
          <w:divsChild>
            <w:div w:id="688456022">
              <w:marLeft w:val="0"/>
              <w:marRight w:val="0"/>
              <w:marTop w:val="0"/>
              <w:marBottom w:val="0"/>
              <w:divBdr>
                <w:top w:val="none" w:sz="0" w:space="0" w:color="auto"/>
                <w:left w:val="none" w:sz="0" w:space="0" w:color="auto"/>
                <w:bottom w:val="none" w:sz="0" w:space="0" w:color="auto"/>
                <w:right w:val="none" w:sz="0" w:space="0" w:color="auto"/>
              </w:divBdr>
              <w:divsChild>
                <w:div w:id="1564022793">
                  <w:marLeft w:val="0"/>
                  <w:marRight w:val="0"/>
                  <w:marTop w:val="0"/>
                  <w:marBottom w:val="0"/>
                  <w:divBdr>
                    <w:top w:val="none" w:sz="0" w:space="0" w:color="auto"/>
                    <w:left w:val="none" w:sz="0" w:space="0" w:color="auto"/>
                    <w:bottom w:val="none" w:sz="0" w:space="0" w:color="auto"/>
                    <w:right w:val="none" w:sz="0" w:space="0" w:color="auto"/>
                  </w:divBdr>
                  <w:divsChild>
                    <w:div w:id="11273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02016">
      <w:bodyDiv w:val="1"/>
      <w:marLeft w:val="0"/>
      <w:marRight w:val="0"/>
      <w:marTop w:val="0"/>
      <w:marBottom w:val="0"/>
      <w:divBdr>
        <w:top w:val="none" w:sz="0" w:space="0" w:color="auto"/>
        <w:left w:val="none" w:sz="0" w:space="0" w:color="auto"/>
        <w:bottom w:val="none" w:sz="0" w:space="0" w:color="auto"/>
        <w:right w:val="none" w:sz="0" w:space="0" w:color="auto"/>
      </w:divBdr>
    </w:div>
    <w:div w:id="1007253417">
      <w:bodyDiv w:val="1"/>
      <w:marLeft w:val="0"/>
      <w:marRight w:val="0"/>
      <w:marTop w:val="0"/>
      <w:marBottom w:val="0"/>
      <w:divBdr>
        <w:top w:val="none" w:sz="0" w:space="0" w:color="auto"/>
        <w:left w:val="none" w:sz="0" w:space="0" w:color="auto"/>
        <w:bottom w:val="none" w:sz="0" w:space="0" w:color="auto"/>
        <w:right w:val="none" w:sz="0" w:space="0" w:color="auto"/>
      </w:divBdr>
    </w:div>
    <w:div w:id="1259557663">
      <w:bodyDiv w:val="1"/>
      <w:marLeft w:val="0"/>
      <w:marRight w:val="0"/>
      <w:marTop w:val="0"/>
      <w:marBottom w:val="0"/>
      <w:divBdr>
        <w:top w:val="none" w:sz="0" w:space="0" w:color="auto"/>
        <w:left w:val="none" w:sz="0" w:space="0" w:color="auto"/>
        <w:bottom w:val="none" w:sz="0" w:space="0" w:color="auto"/>
        <w:right w:val="none" w:sz="0" w:space="0" w:color="auto"/>
      </w:divBdr>
    </w:div>
    <w:div w:id="1420129422">
      <w:bodyDiv w:val="1"/>
      <w:marLeft w:val="0"/>
      <w:marRight w:val="0"/>
      <w:marTop w:val="0"/>
      <w:marBottom w:val="0"/>
      <w:divBdr>
        <w:top w:val="none" w:sz="0" w:space="0" w:color="auto"/>
        <w:left w:val="none" w:sz="0" w:space="0" w:color="auto"/>
        <w:bottom w:val="none" w:sz="0" w:space="0" w:color="auto"/>
        <w:right w:val="none" w:sz="0" w:space="0" w:color="auto"/>
      </w:divBdr>
    </w:div>
    <w:div w:id="1571578004">
      <w:bodyDiv w:val="1"/>
      <w:marLeft w:val="0"/>
      <w:marRight w:val="0"/>
      <w:marTop w:val="0"/>
      <w:marBottom w:val="0"/>
      <w:divBdr>
        <w:top w:val="none" w:sz="0" w:space="0" w:color="auto"/>
        <w:left w:val="none" w:sz="0" w:space="0" w:color="auto"/>
        <w:bottom w:val="none" w:sz="0" w:space="0" w:color="auto"/>
        <w:right w:val="none" w:sz="0" w:space="0" w:color="auto"/>
      </w:divBdr>
    </w:div>
    <w:div w:id="1698122195">
      <w:bodyDiv w:val="1"/>
      <w:marLeft w:val="0"/>
      <w:marRight w:val="0"/>
      <w:marTop w:val="0"/>
      <w:marBottom w:val="0"/>
      <w:divBdr>
        <w:top w:val="none" w:sz="0" w:space="0" w:color="auto"/>
        <w:left w:val="none" w:sz="0" w:space="0" w:color="auto"/>
        <w:bottom w:val="none" w:sz="0" w:space="0" w:color="auto"/>
        <w:right w:val="none" w:sz="0" w:space="0" w:color="auto"/>
      </w:divBdr>
    </w:div>
    <w:div w:id="1783646415">
      <w:bodyDiv w:val="1"/>
      <w:marLeft w:val="0"/>
      <w:marRight w:val="0"/>
      <w:marTop w:val="0"/>
      <w:marBottom w:val="0"/>
      <w:divBdr>
        <w:top w:val="none" w:sz="0" w:space="0" w:color="auto"/>
        <w:left w:val="none" w:sz="0" w:space="0" w:color="auto"/>
        <w:bottom w:val="none" w:sz="0" w:space="0" w:color="auto"/>
        <w:right w:val="none" w:sz="0" w:space="0" w:color="auto"/>
      </w:divBdr>
      <w:divsChild>
        <w:div w:id="1865744589">
          <w:marLeft w:val="0"/>
          <w:marRight w:val="0"/>
          <w:marTop w:val="0"/>
          <w:marBottom w:val="0"/>
          <w:divBdr>
            <w:top w:val="none" w:sz="0" w:space="0" w:color="auto"/>
            <w:left w:val="none" w:sz="0" w:space="0" w:color="auto"/>
            <w:bottom w:val="none" w:sz="0" w:space="0" w:color="auto"/>
            <w:right w:val="none" w:sz="0" w:space="0" w:color="auto"/>
          </w:divBdr>
        </w:div>
        <w:div w:id="1312828513">
          <w:marLeft w:val="0"/>
          <w:marRight w:val="0"/>
          <w:marTop w:val="0"/>
          <w:marBottom w:val="0"/>
          <w:divBdr>
            <w:top w:val="none" w:sz="0" w:space="0" w:color="auto"/>
            <w:left w:val="none" w:sz="0" w:space="0" w:color="auto"/>
            <w:bottom w:val="none" w:sz="0" w:space="0" w:color="auto"/>
            <w:right w:val="none" w:sz="0" w:space="0" w:color="auto"/>
          </w:divBdr>
        </w:div>
        <w:div w:id="595330958">
          <w:marLeft w:val="0"/>
          <w:marRight w:val="0"/>
          <w:marTop w:val="0"/>
          <w:marBottom w:val="0"/>
          <w:divBdr>
            <w:top w:val="none" w:sz="0" w:space="0" w:color="auto"/>
            <w:left w:val="none" w:sz="0" w:space="0" w:color="auto"/>
            <w:bottom w:val="none" w:sz="0" w:space="0" w:color="auto"/>
            <w:right w:val="none" w:sz="0" w:space="0" w:color="auto"/>
          </w:divBdr>
        </w:div>
      </w:divsChild>
    </w:div>
    <w:div w:id="1970092174">
      <w:bodyDiv w:val="1"/>
      <w:marLeft w:val="0"/>
      <w:marRight w:val="0"/>
      <w:marTop w:val="0"/>
      <w:marBottom w:val="0"/>
      <w:divBdr>
        <w:top w:val="none" w:sz="0" w:space="0" w:color="auto"/>
        <w:left w:val="none" w:sz="0" w:space="0" w:color="auto"/>
        <w:bottom w:val="none" w:sz="0" w:space="0" w:color="auto"/>
        <w:right w:val="none" w:sz="0" w:space="0" w:color="auto"/>
      </w:divBdr>
    </w:div>
    <w:div w:id="2087607270">
      <w:bodyDiv w:val="1"/>
      <w:marLeft w:val="0"/>
      <w:marRight w:val="0"/>
      <w:marTop w:val="0"/>
      <w:marBottom w:val="0"/>
      <w:divBdr>
        <w:top w:val="none" w:sz="0" w:space="0" w:color="auto"/>
        <w:left w:val="none" w:sz="0" w:space="0" w:color="auto"/>
        <w:bottom w:val="none" w:sz="0" w:space="0" w:color="auto"/>
        <w:right w:val="none" w:sz="0" w:space="0" w:color="auto"/>
      </w:divBdr>
    </w:div>
    <w:div w:id="21287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microsoft.com/office/2007/relationships/stylesWithEffects" Target="stylesWithEffect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3.xml" Id="R14397971503b4f91" /></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user/DAF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06B6B9CBD2E3BCEE0530BDC010A1885" version="1.0.0">
  <systemFields>
    <field name="Objective-Id">
      <value order="0">A1161726</value>
    </field>
    <field name="Objective-Title">
      <value order="0">WABC S-holder Engagement - 2015 Workshop Report</value>
    </field>
    <field name="Objective-Description">
      <value order="0"/>
    </field>
    <field name="Objective-CreationStamp">
      <value order="0">2015-11-13T03:42:32Z</value>
    </field>
    <field name="Objective-IsApproved">
      <value order="0">false</value>
    </field>
    <field name="Objective-IsPublished">
      <value order="0">true</value>
    </field>
    <field name="Objective-DatePublished">
      <value order="0">2017-06-16T02:48:49Z</value>
    </field>
    <field name="Objective-ModificationStamp">
      <value order="0">2017-06-16T02:48:50Z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vA2538541</value>
    </field>
    <field name="Objective-Version">
      <value order="0">4.0</value>
    </field>
    <field name="Objective-VersionNumber">
      <value order="0">4</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62941</value>
      </field>
      <field name="Objective-CMS Deleted">
        <value order="0">N</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7A4651-AC3C-4173-926C-5341E04C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Biosecurity Council Stakeholder Workshop</vt:lpstr>
    </vt:vector>
  </TitlesOfParts>
  <Company>Andrew Huffer and Associates Pty Ltd</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Council Stakeholder Workshop</dc:title>
  <dc:subject>Report on workshop held 10 July 2015</dc:subject>
  <dc:creator>Department of Agriculture and Food Western Australia</dc:creator>
  <cp:lastModifiedBy>rtheath</cp:lastModifiedBy>
  <cp:revision>6</cp:revision>
  <cp:lastPrinted>2015-10-21T06:15:00Z</cp:lastPrinted>
  <dcterms:created xsi:type="dcterms:W3CDTF">2015-10-21T07:23:00Z</dcterms:created>
  <dcterms:modified xsi:type="dcterms:W3CDTF">2015-11-13T02:36:00Z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A1161726</vt:lpwstr>
  </property>
  <property fmtid="{D5CDD505-2E9C-101B-9397-08002B2CF9AE}" pid="4" name="Objective-Title">
    <vt:lpwstr>WABC S-holder Engagement - 2015 Workshop Report</vt:lpwstr>
  </property>
  <property fmtid="{D5CDD505-2E9C-101B-9397-08002B2CF9AE}" pid="5" name="Objective-Description">
    <vt:lpwstr/>
  </property>
  <property fmtid="{D5CDD505-2E9C-101B-9397-08002B2CF9AE}" pid="6" name="Objective-CreationStamp">
    <vt:filetime>2015-11-13T03:42:32Z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2017-06-16T02:48:49Z</vt:filetime>
  </property>
  <property fmtid="{D5CDD505-2E9C-101B-9397-08002B2CF9AE}" pid="10" name="Objective-ModificationStamp">
    <vt:filetime>2017-06-16T02:48:50Z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vA2538541</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62941</vt:lpwstr>
  </property>
  <property fmtid="{D5CDD505-2E9C-101B-9397-08002B2CF9AE}" pid="24" name="Objective-CMS Deleted">
    <vt:lpwstr>N</vt:lpwstr>
  </property>
</Properties>
</file>