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theme="minorBidi"/>
          <w:b w:val="0"/>
          <w:color w:val="404040" w:themeColor="text1" w:themeTint="BF"/>
          <w:szCs w:val="22"/>
        </w:rPr>
        <w:id w:val="-2083744090"/>
        <w:docPartObj>
          <w:docPartGallery w:val="Cover Pages"/>
          <w:docPartUnique/>
        </w:docPartObj>
      </w:sdtPr>
      <w:sdtEndPr>
        <w:rPr>
          <w:rFonts w:cs="Arial"/>
          <w:color w:val="231F20"/>
          <w:szCs w:val="24"/>
        </w:rPr>
      </w:sdtEndPr>
      <w:sdtContent>
        <w:p w:rsidR="00D951A1" w:rsidRDefault="00D951A1" w:rsidP="00081312">
          <w:pPr>
            <w:pStyle w:val="Heading3"/>
          </w:pPr>
        </w:p>
        <w:p w:rsidR="00926A48" w:rsidRDefault="007404FF" w:rsidP="00CB30DF">
          <w:pPr>
            <w:pStyle w:val="Heading1"/>
            <w:rPr>
              <w:sz w:val="36"/>
              <w:szCs w:val="36"/>
            </w:rPr>
          </w:pPr>
          <w:r w:rsidRPr="007404FF">
            <w:rPr>
              <w:sz w:val="36"/>
              <w:szCs w:val="36"/>
            </w:rPr>
            <w:t>Grower Group Research &amp; Development Grants</w:t>
          </w:r>
        </w:p>
        <w:p w:rsidR="00B257A4" w:rsidRPr="00AF2861" w:rsidRDefault="001664C4" w:rsidP="00B34768">
          <w:pPr>
            <w:pStyle w:val="Heading1"/>
            <w:rPr>
              <w:rFonts w:ascii="Arial Bold" w:hAnsi="Arial Bold"/>
              <w:spacing w:val="-10"/>
              <w:kern w:val="28"/>
              <w:sz w:val="36"/>
              <w:szCs w:val="36"/>
            </w:rPr>
          </w:pPr>
          <w:r w:rsidRPr="001664C4">
            <w:rPr>
              <w:sz w:val="36"/>
              <w:szCs w:val="36"/>
            </w:rPr>
            <w:t>Round 2</w:t>
          </w:r>
          <w:r>
            <w:rPr>
              <w:sz w:val="36"/>
              <w:szCs w:val="36"/>
            </w:rPr>
            <w:t xml:space="preserve"> - </w:t>
          </w:r>
          <w:r w:rsidR="005822BF">
            <w:rPr>
              <w:rFonts w:ascii="Arial Bold" w:hAnsi="Arial Bold"/>
              <w:spacing w:val="-10"/>
              <w:kern w:val="28"/>
              <w:sz w:val="36"/>
              <w:szCs w:val="36"/>
            </w:rPr>
            <w:t>G</w:t>
          </w:r>
          <w:r w:rsidR="00CB30DF" w:rsidRPr="00AF2861">
            <w:rPr>
              <w:rFonts w:ascii="Arial Bold" w:hAnsi="Arial Bold"/>
              <w:spacing w:val="-10"/>
              <w:kern w:val="28"/>
              <w:sz w:val="36"/>
              <w:szCs w:val="36"/>
            </w:rPr>
            <w:t>uidelines</w:t>
          </w:r>
          <w:r w:rsidR="005822BF">
            <w:rPr>
              <w:rFonts w:ascii="Arial Bold" w:hAnsi="Arial Bold"/>
              <w:spacing w:val="-10"/>
              <w:kern w:val="28"/>
              <w:sz w:val="36"/>
              <w:szCs w:val="36"/>
            </w:rPr>
            <w:t xml:space="preserve"> for Applicants</w:t>
          </w:r>
        </w:p>
        <w:p w:rsidR="00095E6A" w:rsidRPr="007F6306" w:rsidRDefault="00095E6A" w:rsidP="00163E55">
          <w:pPr>
            <w:pStyle w:val="Heading2"/>
            <w:rPr>
              <w:color w:val="007D57"/>
              <w:sz w:val="28"/>
              <w:szCs w:val="28"/>
            </w:rPr>
          </w:pPr>
          <w:r w:rsidRPr="007F6306">
            <w:rPr>
              <w:bCs/>
              <w:color w:val="007D57"/>
            </w:rPr>
            <w:t>At a glance</w:t>
          </w:r>
        </w:p>
        <w:p w:rsidR="00095E6A" w:rsidRPr="00E82C1B" w:rsidRDefault="00503D91" w:rsidP="00163E55">
          <w:pPr>
            <w:rPr>
              <w:rFonts w:cs="Arial"/>
              <w:color w:val="000000" w:themeColor="text1"/>
              <w:szCs w:val="24"/>
            </w:rPr>
          </w:pPr>
          <w:r>
            <w:rPr>
              <w:rFonts w:cs="Arial"/>
              <w:color w:val="000000" w:themeColor="text1"/>
              <w:szCs w:val="24"/>
            </w:rPr>
            <w:t>Expressions of I</w:t>
          </w:r>
          <w:r w:rsidR="00EB564E" w:rsidRPr="00503D91">
            <w:rPr>
              <w:rFonts w:cs="Arial"/>
              <w:color w:val="000000" w:themeColor="text1"/>
              <w:szCs w:val="24"/>
            </w:rPr>
            <w:t xml:space="preserve">nterest </w:t>
          </w:r>
          <w:r w:rsidR="00B257A4" w:rsidRPr="00503D91">
            <w:rPr>
              <w:rFonts w:cs="Arial"/>
              <w:szCs w:val="24"/>
            </w:rPr>
            <w:t>for funding from</w:t>
          </w:r>
          <w:r w:rsidR="004F73B9" w:rsidRPr="00503D91">
            <w:rPr>
              <w:rFonts w:cs="Arial"/>
              <w:szCs w:val="24"/>
            </w:rPr>
            <w:t xml:space="preserve"> </w:t>
          </w:r>
          <w:r w:rsidR="007404FF">
            <w:rPr>
              <w:rFonts w:cs="Arial"/>
              <w:szCs w:val="24"/>
            </w:rPr>
            <w:t xml:space="preserve">Round 2 of </w:t>
          </w:r>
          <w:r w:rsidR="00095E6A" w:rsidRPr="00503D91">
            <w:rPr>
              <w:rFonts w:cs="Arial"/>
              <w:szCs w:val="24"/>
            </w:rPr>
            <w:t xml:space="preserve">the Western Australian </w:t>
          </w:r>
          <w:r w:rsidR="007404FF" w:rsidRPr="007404FF">
            <w:rPr>
              <w:rFonts w:cs="Arial"/>
              <w:szCs w:val="24"/>
            </w:rPr>
            <w:t>Grower Group Research &amp; Development Grants</w:t>
          </w:r>
          <w:r w:rsidR="00B257A4" w:rsidRPr="00503D91">
            <w:rPr>
              <w:rFonts w:cs="Arial"/>
              <w:szCs w:val="24"/>
            </w:rPr>
            <w:t xml:space="preserve"> p</w:t>
          </w:r>
          <w:r w:rsidR="004F73B9" w:rsidRPr="00503D91">
            <w:rPr>
              <w:rFonts w:cs="Arial"/>
              <w:szCs w:val="24"/>
            </w:rPr>
            <w:t>rogram</w:t>
          </w:r>
          <w:r w:rsidR="00D43437" w:rsidRPr="00503D91">
            <w:rPr>
              <w:rFonts w:cs="Arial"/>
              <w:szCs w:val="24"/>
            </w:rPr>
            <w:t xml:space="preserve"> will open </w:t>
          </w:r>
          <w:r w:rsidR="00470406">
            <w:rPr>
              <w:rFonts w:cs="Arial"/>
              <w:color w:val="000000" w:themeColor="text1"/>
              <w:szCs w:val="24"/>
            </w:rPr>
            <w:t>Monday 5</w:t>
          </w:r>
          <w:r w:rsidR="00E82C1B" w:rsidRPr="00E82C1B">
            <w:rPr>
              <w:rFonts w:cs="Arial"/>
              <w:color w:val="000000" w:themeColor="text1"/>
              <w:szCs w:val="24"/>
            </w:rPr>
            <w:t xml:space="preserve"> December 2016.</w:t>
          </w:r>
          <w:r w:rsidR="004F73B9" w:rsidRPr="00E82C1B">
            <w:rPr>
              <w:rFonts w:cs="Arial"/>
              <w:color w:val="000000" w:themeColor="text1"/>
              <w:szCs w:val="24"/>
            </w:rPr>
            <w:t xml:space="preserve"> </w:t>
          </w:r>
        </w:p>
        <w:p w:rsidR="00095E6A" w:rsidRPr="00E82C1B" w:rsidRDefault="00797310" w:rsidP="00934FC0">
          <w:pPr>
            <w:rPr>
              <w:rFonts w:cs="Arial"/>
              <w:color w:val="000000" w:themeColor="text1"/>
              <w:szCs w:val="24"/>
            </w:rPr>
          </w:pPr>
          <w:r w:rsidRPr="00E82C1B">
            <w:rPr>
              <w:rFonts w:cs="Arial"/>
              <w:color w:val="000000" w:themeColor="text1"/>
              <w:szCs w:val="24"/>
            </w:rPr>
            <w:t>Expressions of I</w:t>
          </w:r>
          <w:r w:rsidR="00934FC0" w:rsidRPr="00E82C1B">
            <w:rPr>
              <w:rFonts w:cs="Arial"/>
              <w:color w:val="000000" w:themeColor="text1"/>
              <w:szCs w:val="24"/>
            </w:rPr>
            <w:t xml:space="preserve">nterest close </w:t>
          </w:r>
          <w:r w:rsidR="00B27AEE" w:rsidRPr="00E82C1B">
            <w:rPr>
              <w:rFonts w:cs="Arial"/>
              <w:color w:val="000000" w:themeColor="text1"/>
              <w:szCs w:val="24"/>
            </w:rPr>
            <w:t xml:space="preserve">at </w:t>
          </w:r>
          <w:r w:rsidR="00B27AEE" w:rsidRPr="00C02F61">
            <w:rPr>
              <w:rFonts w:cs="Arial"/>
              <w:color w:val="000000" w:themeColor="text1"/>
              <w:szCs w:val="24"/>
              <w:u w:val="single"/>
            </w:rPr>
            <w:t>exactly</w:t>
          </w:r>
          <w:r w:rsidR="00B27AEE" w:rsidRPr="00E82C1B">
            <w:rPr>
              <w:rFonts w:cs="Arial"/>
              <w:color w:val="000000" w:themeColor="text1"/>
              <w:szCs w:val="24"/>
            </w:rPr>
            <w:t xml:space="preserve"> </w:t>
          </w:r>
          <w:r w:rsidR="00934FC0" w:rsidRPr="00E82C1B">
            <w:rPr>
              <w:rFonts w:cs="Arial"/>
              <w:color w:val="000000" w:themeColor="text1"/>
              <w:szCs w:val="24"/>
            </w:rPr>
            <w:t xml:space="preserve">12 noon (WST) </w:t>
          </w:r>
          <w:r w:rsidR="007404FF">
            <w:rPr>
              <w:rFonts w:cs="Arial"/>
              <w:color w:val="000000" w:themeColor="text1"/>
              <w:szCs w:val="24"/>
            </w:rPr>
            <w:t>Fri</w:t>
          </w:r>
          <w:r w:rsidR="00C02F61" w:rsidRPr="00880790">
            <w:rPr>
              <w:rFonts w:cs="Arial"/>
              <w:color w:val="000000" w:themeColor="text1"/>
              <w:szCs w:val="24"/>
            </w:rPr>
            <w:t xml:space="preserve">day </w:t>
          </w:r>
          <w:r w:rsidR="007404FF">
            <w:rPr>
              <w:rFonts w:cs="Arial"/>
              <w:color w:val="000000" w:themeColor="text1"/>
              <w:szCs w:val="24"/>
            </w:rPr>
            <w:t>10</w:t>
          </w:r>
          <w:r w:rsidR="00C02F61" w:rsidRPr="00880790">
            <w:rPr>
              <w:rFonts w:cs="Arial"/>
              <w:color w:val="000000" w:themeColor="text1"/>
              <w:szCs w:val="24"/>
            </w:rPr>
            <w:t xml:space="preserve"> </w:t>
          </w:r>
          <w:r w:rsidR="007404FF">
            <w:rPr>
              <w:rFonts w:cs="Arial"/>
              <w:color w:val="000000" w:themeColor="text1"/>
              <w:szCs w:val="24"/>
            </w:rPr>
            <w:t>February</w:t>
          </w:r>
          <w:r w:rsidR="00C02F61" w:rsidRPr="00880790">
            <w:rPr>
              <w:rFonts w:cs="Arial"/>
              <w:color w:val="000000" w:themeColor="text1"/>
              <w:szCs w:val="24"/>
            </w:rPr>
            <w:t xml:space="preserve"> 2017</w:t>
          </w:r>
          <w:r w:rsidR="00E82C1B" w:rsidRPr="00E82C1B">
            <w:rPr>
              <w:rFonts w:cs="Arial"/>
              <w:color w:val="000000" w:themeColor="text1"/>
              <w:szCs w:val="24"/>
            </w:rPr>
            <w:t>.</w:t>
          </w:r>
        </w:p>
        <w:p w:rsidR="00095E6A" w:rsidRPr="00E82C1B" w:rsidRDefault="007404FF" w:rsidP="00B27AEE">
          <w:pPr>
            <w:spacing w:before="120" w:after="120" w:line="240" w:lineRule="auto"/>
            <w:rPr>
              <w:color w:val="000000" w:themeColor="text1"/>
              <w:szCs w:val="24"/>
            </w:rPr>
          </w:pPr>
          <w:r>
            <w:rPr>
              <w:color w:val="000000" w:themeColor="text1"/>
              <w:szCs w:val="24"/>
            </w:rPr>
            <w:t>GGRD2</w:t>
          </w:r>
          <w:r w:rsidR="00095E6A" w:rsidRPr="00E82C1B">
            <w:rPr>
              <w:color w:val="000000" w:themeColor="text1"/>
              <w:szCs w:val="24"/>
            </w:rPr>
            <w:t xml:space="preserve"> will invest up to </w:t>
          </w:r>
          <w:r w:rsidR="009D7724" w:rsidRPr="00E82C1B">
            <w:rPr>
              <w:color w:val="000000" w:themeColor="text1"/>
              <w:szCs w:val="24"/>
            </w:rPr>
            <w:t>$1</w:t>
          </w:r>
          <w:r>
            <w:rPr>
              <w:color w:val="000000" w:themeColor="text1"/>
              <w:szCs w:val="24"/>
            </w:rPr>
            <w:t>0</w:t>
          </w:r>
          <w:r w:rsidR="009D7724" w:rsidRPr="00E82C1B">
            <w:rPr>
              <w:color w:val="000000" w:themeColor="text1"/>
              <w:szCs w:val="24"/>
            </w:rPr>
            <w:t>.</w:t>
          </w:r>
          <w:r>
            <w:rPr>
              <w:color w:val="000000" w:themeColor="text1"/>
              <w:szCs w:val="24"/>
            </w:rPr>
            <w:t>5</w:t>
          </w:r>
          <w:r w:rsidR="00095E6A" w:rsidRPr="00E82C1B">
            <w:rPr>
              <w:color w:val="000000" w:themeColor="text1"/>
              <w:szCs w:val="24"/>
            </w:rPr>
            <w:t xml:space="preserve"> million, with individual grants of between $</w:t>
          </w:r>
          <w:r w:rsidR="00523544">
            <w:rPr>
              <w:color w:val="000000" w:themeColor="text1"/>
              <w:szCs w:val="24"/>
            </w:rPr>
            <w:t>2</w:t>
          </w:r>
          <w:r>
            <w:rPr>
              <w:color w:val="000000" w:themeColor="text1"/>
              <w:szCs w:val="24"/>
            </w:rPr>
            <w:t>0</w:t>
          </w:r>
          <w:r w:rsidR="00006DA4">
            <w:rPr>
              <w:color w:val="000000" w:themeColor="text1"/>
              <w:szCs w:val="24"/>
            </w:rPr>
            <w:t xml:space="preserve"> </w:t>
          </w:r>
          <w:r w:rsidR="00E82C1B" w:rsidRPr="00E82C1B">
            <w:rPr>
              <w:color w:val="000000" w:themeColor="text1"/>
              <w:szCs w:val="24"/>
            </w:rPr>
            <w:t>000</w:t>
          </w:r>
          <w:r w:rsidR="009D7724" w:rsidRPr="00E82C1B">
            <w:rPr>
              <w:color w:val="000000" w:themeColor="text1"/>
              <w:szCs w:val="24"/>
            </w:rPr>
            <w:t xml:space="preserve"> and $</w:t>
          </w:r>
          <w:r>
            <w:rPr>
              <w:color w:val="000000" w:themeColor="text1"/>
              <w:szCs w:val="24"/>
            </w:rPr>
            <w:t>5</w:t>
          </w:r>
          <w:r w:rsidR="00006DA4">
            <w:rPr>
              <w:color w:val="000000" w:themeColor="text1"/>
              <w:szCs w:val="24"/>
            </w:rPr>
            <w:t xml:space="preserve">00 </w:t>
          </w:r>
          <w:r w:rsidR="00095E6A" w:rsidRPr="00E82C1B">
            <w:rPr>
              <w:color w:val="000000" w:themeColor="text1"/>
              <w:szCs w:val="24"/>
            </w:rPr>
            <w:t>000 available through a merit based competitive selection process.</w:t>
          </w:r>
        </w:p>
        <w:p w:rsidR="00C02F61" w:rsidRDefault="00B27AEE" w:rsidP="009D1567">
          <w:pPr>
            <w:spacing w:before="120" w:after="120" w:line="240" w:lineRule="auto"/>
            <w:rPr>
              <w:szCs w:val="24"/>
            </w:rPr>
          </w:pPr>
          <w:r w:rsidRPr="00503D91">
            <w:rPr>
              <w:szCs w:val="24"/>
            </w:rPr>
            <w:t xml:space="preserve">Funded projects must be completed </w:t>
          </w:r>
          <w:r w:rsidR="00E82C1B">
            <w:rPr>
              <w:szCs w:val="24"/>
            </w:rPr>
            <w:t>by</w:t>
          </w:r>
          <w:r w:rsidRPr="00503D91">
            <w:rPr>
              <w:szCs w:val="24"/>
            </w:rPr>
            <w:t xml:space="preserve"> 31 March 2019.</w:t>
          </w:r>
          <w:r w:rsidR="009D1567">
            <w:rPr>
              <w:szCs w:val="24"/>
            </w:rPr>
            <w:t xml:space="preserve"> </w:t>
          </w:r>
        </w:p>
        <w:p w:rsidR="00BC4EB4" w:rsidRPr="00503D91" w:rsidRDefault="00BC4EB4" w:rsidP="00B27AEE">
          <w:pPr>
            <w:spacing w:before="120" w:after="120" w:line="240" w:lineRule="auto"/>
            <w:rPr>
              <w:szCs w:val="24"/>
            </w:rPr>
          </w:pPr>
        </w:p>
        <w:p w:rsidR="00D9549E" w:rsidRPr="007F6306" w:rsidRDefault="007404FF" w:rsidP="00163E55">
          <w:pPr>
            <w:pStyle w:val="Heading2"/>
            <w:rPr>
              <w:color w:val="007D57"/>
              <w:sz w:val="28"/>
              <w:szCs w:val="28"/>
            </w:rPr>
          </w:pPr>
          <w:r>
            <w:rPr>
              <w:bCs/>
              <w:color w:val="007D57"/>
            </w:rPr>
            <w:t>GGRD2</w:t>
          </w:r>
          <w:r w:rsidR="00EE028A" w:rsidRPr="007F6306">
            <w:rPr>
              <w:bCs/>
              <w:color w:val="007D57"/>
            </w:rPr>
            <w:t xml:space="preserve"> program overview</w:t>
          </w:r>
        </w:p>
        <w:p w:rsidR="006078E5" w:rsidRDefault="004F73B9" w:rsidP="00163E55">
          <w:pPr>
            <w:rPr>
              <w:rFonts w:cs="Arial"/>
            </w:rPr>
          </w:pPr>
          <w:r w:rsidRPr="00623B78">
            <w:rPr>
              <w:rFonts w:cs="Arial"/>
            </w:rPr>
            <w:t xml:space="preserve">The </w:t>
          </w:r>
          <w:r w:rsidR="007404FF">
            <w:rPr>
              <w:rFonts w:cs="Arial"/>
            </w:rPr>
            <w:t>GGRD2</w:t>
          </w:r>
          <w:r w:rsidR="00B257A4">
            <w:rPr>
              <w:rFonts w:cs="Arial"/>
            </w:rPr>
            <w:t xml:space="preserve"> p</w:t>
          </w:r>
          <w:r w:rsidR="00B257A4" w:rsidRPr="00B257A4">
            <w:rPr>
              <w:rFonts w:cs="Arial"/>
            </w:rPr>
            <w:t>rogram</w:t>
          </w:r>
          <w:r w:rsidRPr="00623B78">
            <w:rPr>
              <w:rFonts w:cs="Arial"/>
            </w:rPr>
            <w:t xml:space="preserve"> is a component of the </w:t>
          </w:r>
          <w:r w:rsidR="00B257A4">
            <w:rPr>
              <w:rFonts w:cs="Arial"/>
            </w:rPr>
            <w:t xml:space="preserve">$22.1 million </w:t>
          </w:r>
          <w:r w:rsidRPr="00623B78">
            <w:rPr>
              <w:rFonts w:cs="Arial"/>
            </w:rPr>
            <w:t xml:space="preserve">Agricultural Sciences R&amp;D Fund </w:t>
          </w:r>
          <w:r w:rsidR="00B257A4">
            <w:rPr>
              <w:rFonts w:cs="Arial"/>
            </w:rPr>
            <w:t xml:space="preserve">made possible by </w:t>
          </w:r>
          <w:r w:rsidR="00B257A4" w:rsidRPr="00623B78">
            <w:rPr>
              <w:rFonts w:cs="Arial"/>
            </w:rPr>
            <w:t>Royalties for Regions</w:t>
          </w:r>
          <w:r w:rsidR="00B257A4">
            <w:rPr>
              <w:rFonts w:cs="Arial"/>
            </w:rPr>
            <w:t>,</w:t>
          </w:r>
          <w:r w:rsidR="00B257A4" w:rsidRPr="00623B78">
            <w:rPr>
              <w:rFonts w:cs="Arial"/>
            </w:rPr>
            <w:t xml:space="preserve"> </w:t>
          </w:r>
          <w:r w:rsidR="00B257A4">
            <w:rPr>
              <w:rFonts w:cs="Arial"/>
            </w:rPr>
            <w:t xml:space="preserve">and </w:t>
          </w:r>
          <w:r w:rsidR="004F387C">
            <w:rPr>
              <w:rFonts w:cs="Arial"/>
            </w:rPr>
            <w:t>managed</w:t>
          </w:r>
          <w:r w:rsidR="004F387C" w:rsidRPr="00623B78">
            <w:rPr>
              <w:rFonts w:cs="Arial"/>
            </w:rPr>
            <w:t xml:space="preserve"> </w:t>
          </w:r>
          <w:r w:rsidRPr="00623B78">
            <w:rPr>
              <w:rFonts w:cs="Arial"/>
            </w:rPr>
            <w:t>by the Department of Agriculture and Food, Western Australia (DAFWA)</w:t>
          </w:r>
          <w:r w:rsidR="00B257A4">
            <w:rPr>
              <w:rFonts w:cs="Arial"/>
            </w:rPr>
            <w:t>.</w:t>
          </w:r>
        </w:p>
        <w:p w:rsidR="006078E5" w:rsidRPr="00D9549E" w:rsidRDefault="00327D3D" w:rsidP="006078E5">
          <w:pPr>
            <w:rPr>
              <w:color w:val="000000" w:themeColor="text1"/>
            </w:rPr>
          </w:pPr>
          <w:r>
            <w:rPr>
              <w:color w:val="000000" w:themeColor="text1"/>
            </w:rPr>
            <w:t xml:space="preserve">The </w:t>
          </w:r>
          <w:r w:rsidR="006078E5" w:rsidRPr="00D9549E">
            <w:rPr>
              <w:color w:val="000000" w:themeColor="text1"/>
            </w:rPr>
            <w:t xml:space="preserve">Fund </w:t>
          </w:r>
          <w:r>
            <w:rPr>
              <w:color w:val="000000" w:themeColor="text1"/>
            </w:rPr>
            <w:t>seeks</w:t>
          </w:r>
          <w:r w:rsidR="006078E5" w:rsidRPr="00D9549E">
            <w:rPr>
              <w:color w:val="000000" w:themeColor="text1"/>
            </w:rPr>
            <w:t xml:space="preserve"> to generate profitability and growth in the agrifood sector through:</w:t>
          </w:r>
        </w:p>
        <w:p w:rsidR="006078E5" w:rsidRPr="00866F9E" w:rsidRDefault="006078E5" w:rsidP="006078E5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866F9E">
            <w:rPr>
              <w:rFonts w:cs="Arial"/>
              <w:color w:val="000000" w:themeColor="text1"/>
              <w:szCs w:val="24"/>
            </w:rPr>
            <w:t xml:space="preserve">targeted, industry-driven R&amp;D </w:t>
          </w:r>
          <w:r w:rsidR="00BC4EB4" w:rsidRPr="00866F9E">
            <w:rPr>
              <w:rFonts w:cs="Arial"/>
              <w:color w:val="000000" w:themeColor="text1"/>
              <w:szCs w:val="24"/>
            </w:rPr>
            <w:t>on</w:t>
          </w:r>
          <w:r w:rsidRPr="00866F9E">
            <w:rPr>
              <w:rFonts w:cs="Arial"/>
              <w:color w:val="000000" w:themeColor="text1"/>
              <w:szCs w:val="24"/>
            </w:rPr>
            <w:t xml:space="preserve"> key drivers</w:t>
          </w:r>
          <w:r w:rsidR="00BC4EB4" w:rsidRPr="00866F9E">
            <w:rPr>
              <w:rFonts w:cs="Arial"/>
              <w:color w:val="000000" w:themeColor="text1"/>
              <w:szCs w:val="24"/>
            </w:rPr>
            <w:t xml:space="preserve"> of productivity and competitiveness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  <w:r w:rsidRPr="00866F9E">
            <w:rPr>
              <w:rFonts w:cs="Arial"/>
              <w:color w:val="000000" w:themeColor="text1"/>
              <w:szCs w:val="24"/>
            </w:rPr>
            <w:t xml:space="preserve"> </w:t>
          </w:r>
        </w:p>
        <w:p w:rsidR="006078E5" w:rsidRPr="00866F9E" w:rsidRDefault="006078E5" w:rsidP="006078E5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866F9E">
            <w:rPr>
              <w:rFonts w:cs="Arial"/>
              <w:color w:val="000000" w:themeColor="text1"/>
              <w:szCs w:val="24"/>
            </w:rPr>
            <w:t>strategic development of industry’s capability through supply chains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078E5" w:rsidRPr="00866F9E" w:rsidDel="00D71A7E" w:rsidRDefault="006078E5" w:rsidP="004F73B9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866F9E" w:rsidDel="00D71A7E">
            <w:rPr>
              <w:rFonts w:cs="Arial"/>
              <w:color w:val="000000" w:themeColor="text1"/>
              <w:szCs w:val="24"/>
            </w:rPr>
            <w:t xml:space="preserve">access to new markets, particularly high value Asian markets. </w:t>
          </w:r>
        </w:p>
        <w:p w:rsidR="00523544" w:rsidRPr="00523544" w:rsidRDefault="00523544" w:rsidP="00523544">
          <w:pPr>
            <w:spacing w:before="120" w:after="120" w:line="240" w:lineRule="auto"/>
            <w:rPr>
              <w:rFonts w:cs="Arial"/>
              <w:color w:val="000000" w:themeColor="text1"/>
            </w:rPr>
          </w:pPr>
          <w:r w:rsidRPr="00523544">
            <w:rPr>
              <w:rFonts w:cs="Arial"/>
              <w:color w:val="000000" w:themeColor="text1"/>
            </w:rPr>
            <w:t>The goal of the Grower Group R&amp;D Grants Program is to better equip WA’s agrifood businesses to: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improve productivity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intensify and expand operations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access capital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pursue new market opportunities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make more informed investment decisions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  <w:r w:rsidRPr="00523544">
            <w:rPr>
              <w:rFonts w:cs="Arial"/>
              <w:color w:val="000000" w:themeColor="text1"/>
              <w:szCs w:val="24"/>
            </w:rPr>
            <w:t xml:space="preserve"> </w:t>
          </w:r>
        </w:p>
        <w:p w:rsidR="00523544" w:rsidRPr="00523544" w:rsidRDefault="00523544" w:rsidP="00523544">
          <w:pPr>
            <w:pStyle w:val="ListParagraph"/>
            <w:numPr>
              <w:ilvl w:val="0"/>
              <w:numId w:val="17"/>
            </w:numPr>
            <w:spacing w:before="0" w:after="0" w:line="240" w:lineRule="auto"/>
            <w:ind w:hanging="357"/>
            <w:contextualSpacing w:val="0"/>
            <w:rPr>
              <w:rFonts w:cs="Arial"/>
              <w:color w:val="000000" w:themeColor="text1"/>
              <w:szCs w:val="24"/>
            </w:rPr>
          </w:pPr>
          <w:r w:rsidRPr="00523544">
            <w:rPr>
              <w:rFonts w:cs="Arial"/>
              <w:color w:val="000000" w:themeColor="text1"/>
              <w:szCs w:val="24"/>
            </w:rPr>
            <w:t>increase jobs in regional Western Australia.</w:t>
          </w:r>
        </w:p>
        <w:p w:rsidR="00523544" w:rsidRDefault="00523544" w:rsidP="00B3372A">
          <w:pPr>
            <w:rPr>
              <w:rFonts w:cs="Arial"/>
            </w:rPr>
          </w:pPr>
        </w:p>
        <w:p w:rsidR="0021651D" w:rsidRDefault="00523544" w:rsidP="000249E7">
          <w:r>
            <w:rPr>
              <w:rFonts w:cs="Arial"/>
            </w:rPr>
            <w:t>Intending GGRD2</w:t>
          </w:r>
          <w:r w:rsidRPr="00E666CD">
            <w:rPr>
              <w:rFonts w:cs="Arial"/>
            </w:rPr>
            <w:t xml:space="preserve"> </w:t>
          </w:r>
          <w:r>
            <w:rPr>
              <w:rFonts w:cs="Arial"/>
            </w:rPr>
            <w:t>applicants</w:t>
          </w:r>
          <w:r w:rsidR="006078E5" w:rsidRPr="00E666CD">
            <w:rPr>
              <w:rFonts w:cs="Arial"/>
            </w:rPr>
            <w:t xml:space="preserve"> </w:t>
          </w:r>
          <w:r>
            <w:rPr>
              <w:rFonts w:cs="Arial"/>
            </w:rPr>
            <w:t>may care to review the</w:t>
          </w:r>
          <w:r w:rsidR="006078E5" w:rsidRPr="00E666CD">
            <w:rPr>
              <w:rFonts w:cs="Arial"/>
            </w:rPr>
            <w:t xml:space="preserve"> </w:t>
          </w:r>
          <w:r w:rsidR="006078E5" w:rsidRPr="00E666CD">
            <w:rPr>
              <w:rFonts w:cs="Arial"/>
              <w:i/>
            </w:rPr>
            <w:t>Pathways to Competitiveness</w:t>
          </w:r>
          <w:r w:rsidR="006078E5" w:rsidRPr="00E666CD">
            <w:rPr>
              <w:rFonts w:cs="Arial"/>
            </w:rPr>
            <w:t xml:space="preserve"> Report</w:t>
          </w:r>
          <w:r w:rsidR="00AF2861" w:rsidRPr="00E666CD">
            <w:rPr>
              <w:rFonts w:cs="Arial"/>
            </w:rPr>
            <w:t>.</w:t>
          </w:r>
          <w:r w:rsidR="0031740D" w:rsidRPr="00E666CD">
            <w:rPr>
              <w:rFonts w:cs="Arial"/>
            </w:rPr>
            <w:t xml:space="preserve">  </w:t>
          </w:r>
          <w:r w:rsidR="007C3419">
            <w:rPr>
              <w:rFonts w:cs="Arial"/>
            </w:rPr>
            <w:t>The Report is available at</w:t>
          </w:r>
          <w:r w:rsidR="00B85D52">
            <w:rPr>
              <w:rFonts w:cs="Arial"/>
            </w:rPr>
            <w:t xml:space="preserve">: </w:t>
          </w:r>
          <w:bookmarkStart w:id="0" w:name="_GoBack"/>
          <w:bookmarkEnd w:id="0"/>
          <w:r w:rsidR="0021651D">
            <w:fldChar w:fldCharType="begin"/>
          </w:r>
          <w:r w:rsidR="0021651D">
            <w:instrText xml:space="preserve"> HYPERLINK "http://</w:instrText>
          </w:r>
          <w:r w:rsidR="0021651D" w:rsidRPr="0021651D">
            <w:instrText>www.agric.wa.gov.au/agricultural-exports/pathways-competitiveness-report</w:instrText>
          </w:r>
          <w:r w:rsidR="0021651D">
            <w:instrText xml:space="preserve">" </w:instrText>
          </w:r>
          <w:r w:rsidR="0021651D">
            <w:fldChar w:fldCharType="separate"/>
          </w:r>
          <w:r w:rsidR="0021651D" w:rsidRPr="0070719D">
            <w:rPr>
              <w:rStyle w:val="Hyperlink"/>
            </w:rPr>
            <w:t>www.agric.wa.gov.au/agricultural-exports/pathways-competitiveness-report</w:t>
          </w:r>
          <w:r w:rsidR="0021651D">
            <w:fldChar w:fldCharType="end"/>
          </w:r>
        </w:p>
        <w:p w:rsidR="00503D91" w:rsidRDefault="00AF2861" w:rsidP="000249E7">
          <w:pPr>
            <w:rPr>
              <w:rFonts w:cs="Arial"/>
              <w:color w:val="000000" w:themeColor="text1"/>
              <w:szCs w:val="24"/>
            </w:rPr>
          </w:pPr>
          <w:r w:rsidRPr="00E666CD">
            <w:rPr>
              <w:rFonts w:cs="Arial"/>
            </w:rPr>
            <w:t>The Report</w:t>
          </w:r>
          <w:r w:rsidR="00B16461" w:rsidRPr="00E666CD">
            <w:rPr>
              <w:rFonts w:cs="Arial"/>
              <w:color w:val="auto"/>
              <w:szCs w:val="24"/>
            </w:rPr>
            <w:t xml:space="preserve"> documents</w:t>
          </w:r>
          <w:r w:rsidR="00D9549E" w:rsidRPr="00E666CD">
            <w:rPr>
              <w:rFonts w:cs="Arial"/>
              <w:color w:val="auto"/>
              <w:szCs w:val="24"/>
            </w:rPr>
            <w:t xml:space="preserve"> key dri</w:t>
          </w:r>
          <w:r w:rsidR="00B3372A" w:rsidRPr="00E666CD">
            <w:rPr>
              <w:rFonts w:cs="Arial"/>
              <w:color w:val="auto"/>
              <w:szCs w:val="24"/>
            </w:rPr>
            <w:t xml:space="preserve">vers, practices and mechanisms </w:t>
          </w:r>
          <w:r w:rsidR="00D9549E" w:rsidRPr="00E666CD">
            <w:rPr>
              <w:rFonts w:cs="Arial"/>
              <w:color w:val="auto"/>
              <w:szCs w:val="24"/>
            </w:rPr>
            <w:t>that characterise international competitiveness</w:t>
          </w:r>
          <w:r w:rsidR="00D43437" w:rsidRPr="00E666CD">
            <w:rPr>
              <w:rFonts w:cs="Arial"/>
              <w:color w:val="auto"/>
              <w:szCs w:val="24"/>
            </w:rPr>
            <w:t>,</w:t>
          </w:r>
          <w:r w:rsidR="007841B5" w:rsidRPr="00E666CD">
            <w:rPr>
              <w:rFonts w:cs="Arial"/>
              <w:color w:val="auto"/>
              <w:szCs w:val="24"/>
            </w:rPr>
            <w:t xml:space="preserve"> and </w:t>
          </w:r>
          <w:r w:rsidR="00D9549E" w:rsidRPr="00E666CD">
            <w:rPr>
              <w:rFonts w:cs="Arial"/>
              <w:color w:val="auto"/>
              <w:szCs w:val="24"/>
            </w:rPr>
            <w:t xml:space="preserve">draws lessons from peer regions that have </w:t>
          </w:r>
          <w:r w:rsidR="007841B5" w:rsidRPr="00E666CD">
            <w:rPr>
              <w:rFonts w:cs="Arial"/>
              <w:color w:val="auto"/>
              <w:szCs w:val="24"/>
            </w:rPr>
            <w:t>transformed</w:t>
          </w:r>
          <w:r w:rsidR="00D9549E" w:rsidRPr="00E666CD">
            <w:rPr>
              <w:rFonts w:cs="Arial"/>
              <w:color w:val="auto"/>
              <w:szCs w:val="24"/>
            </w:rPr>
            <w:t xml:space="preserve"> </w:t>
          </w:r>
          <w:r w:rsidR="007841B5" w:rsidRPr="00E666CD">
            <w:rPr>
              <w:rFonts w:cs="Arial"/>
              <w:color w:val="auto"/>
              <w:szCs w:val="24"/>
            </w:rPr>
            <w:t xml:space="preserve">relevant industry sectors </w:t>
          </w:r>
          <w:r w:rsidR="00D9549E" w:rsidRPr="00E666CD">
            <w:rPr>
              <w:rFonts w:cs="Arial"/>
              <w:color w:val="auto"/>
              <w:szCs w:val="24"/>
            </w:rPr>
            <w:t>over a short time period</w:t>
          </w:r>
          <w:r w:rsidR="007841B5" w:rsidRPr="00E666CD">
            <w:rPr>
              <w:rFonts w:cs="Arial"/>
              <w:color w:val="auto"/>
              <w:szCs w:val="24"/>
            </w:rPr>
            <w:t>.</w:t>
          </w:r>
          <w:r w:rsidR="006C45CA">
            <w:rPr>
              <w:rFonts w:cs="Arial"/>
              <w:color w:val="auto"/>
              <w:szCs w:val="24"/>
            </w:rPr>
            <w:t xml:space="preserve"> </w:t>
          </w:r>
          <w:r w:rsidR="006C45CA">
            <w:rPr>
              <w:rFonts w:cs="Arial"/>
              <w:color w:val="000000" w:themeColor="text1"/>
              <w:szCs w:val="24"/>
            </w:rPr>
            <w:t>It</w:t>
          </w:r>
          <w:r w:rsidR="00BB69F0" w:rsidRPr="00E666CD">
            <w:rPr>
              <w:rFonts w:cs="Arial"/>
              <w:color w:val="000000" w:themeColor="text1"/>
              <w:szCs w:val="24"/>
            </w:rPr>
            <w:t xml:space="preserve"> describes a framework </w:t>
          </w:r>
          <w:r w:rsidR="00BB69F0" w:rsidRPr="00E666CD">
            <w:rPr>
              <w:rFonts w:cs="Arial"/>
              <w:color w:val="000000" w:themeColor="text1"/>
              <w:szCs w:val="24"/>
            </w:rPr>
            <w:lastRenderedPageBreak/>
            <w:t>for international competitiveness</w:t>
          </w:r>
          <w:r w:rsidR="00CB1412">
            <w:rPr>
              <w:rFonts w:cs="Arial"/>
              <w:color w:val="000000" w:themeColor="text1"/>
            </w:rPr>
            <w:t xml:space="preserve"> and </w:t>
          </w:r>
          <w:r w:rsidR="00B16461" w:rsidRPr="00E666CD">
            <w:rPr>
              <w:rFonts w:cs="Arial"/>
              <w:color w:val="000000" w:themeColor="text1"/>
              <w:szCs w:val="24"/>
            </w:rPr>
            <w:t>provides case studies of fi</w:t>
          </w:r>
          <w:r w:rsidR="00BB69F0" w:rsidRPr="00E666CD">
            <w:rPr>
              <w:rFonts w:cs="Arial"/>
              <w:color w:val="000000" w:themeColor="text1"/>
              <w:szCs w:val="24"/>
            </w:rPr>
            <w:t>ve Western Australian agrifood sectors</w:t>
          </w:r>
          <w:r w:rsidR="00B16461" w:rsidRPr="00E666CD">
            <w:rPr>
              <w:rFonts w:cs="Arial"/>
              <w:color w:val="000000" w:themeColor="text1"/>
              <w:szCs w:val="24"/>
            </w:rPr>
            <w:t xml:space="preserve"> </w:t>
          </w:r>
          <w:r w:rsidR="007841B5" w:rsidRPr="00E666CD">
            <w:rPr>
              <w:rFonts w:cs="Arial"/>
              <w:color w:val="000000" w:themeColor="text1"/>
              <w:szCs w:val="24"/>
            </w:rPr>
            <w:t>with t</w:t>
          </w:r>
          <w:r w:rsidR="00B16461" w:rsidRPr="00E666CD">
            <w:rPr>
              <w:rFonts w:cs="Arial"/>
              <w:color w:val="000000" w:themeColor="text1"/>
              <w:szCs w:val="24"/>
            </w:rPr>
            <w:t xml:space="preserve">he potential to grow </w:t>
          </w:r>
          <w:r w:rsidR="007841B5" w:rsidRPr="00E666CD">
            <w:rPr>
              <w:rFonts w:cs="Arial"/>
              <w:color w:val="000000" w:themeColor="text1"/>
              <w:szCs w:val="24"/>
            </w:rPr>
            <w:t>rapidly</w:t>
          </w:r>
          <w:r w:rsidR="00CB1412">
            <w:rPr>
              <w:rFonts w:cs="Arial"/>
              <w:color w:val="000000" w:themeColor="text1"/>
              <w:szCs w:val="24"/>
            </w:rPr>
            <w:t xml:space="preserve">. </w:t>
          </w:r>
        </w:p>
        <w:p w:rsidR="00E75DE5" w:rsidRDefault="00CB1412" w:rsidP="000249E7">
          <w:pPr>
            <w:rPr>
              <w:rFonts w:cs="Arial"/>
              <w:color w:val="000000" w:themeColor="text1"/>
              <w:szCs w:val="24"/>
            </w:rPr>
          </w:pPr>
          <w:r>
            <w:rPr>
              <w:rFonts w:cs="Arial"/>
              <w:color w:val="000000" w:themeColor="text1"/>
              <w:szCs w:val="24"/>
            </w:rPr>
            <w:t>E</w:t>
          </w:r>
          <w:r w:rsidR="00BB69F0" w:rsidRPr="00E666CD">
            <w:rPr>
              <w:rFonts w:cs="Arial"/>
              <w:color w:val="000000" w:themeColor="text1"/>
              <w:szCs w:val="24"/>
            </w:rPr>
            <w:t>xamples</w:t>
          </w:r>
          <w:r w:rsidR="00036E98" w:rsidRPr="00E666CD">
            <w:rPr>
              <w:rFonts w:cs="Arial"/>
              <w:color w:val="000000" w:themeColor="text1"/>
              <w:szCs w:val="24"/>
            </w:rPr>
            <w:t xml:space="preserve"> </w:t>
          </w:r>
          <w:r w:rsidR="007C3419">
            <w:rPr>
              <w:rFonts w:cs="Arial"/>
              <w:color w:val="000000" w:themeColor="text1"/>
              <w:szCs w:val="24"/>
            </w:rPr>
            <w:t>a</w:t>
          </w:r>
          <w:r>
            <w:rPr>
              <w:rFonts w:cs="Arial"/>
              <w:color w:val="000000" w:themeColor="text1"/>
              <w:szCs w:val="24"/>
            </w:rPr>
            <w:t>r</w:t>
          </w:r>
          <w:r w:rsidR="007C3419">
            <w:rPr>
              <w:rFonts w:cs="Arial"/>
              <w:color w:val="000000" w:themeColor="text1"/>
              <w:szCs w:val="24"/>
            </w:rPr>
            <w:t>e</w:t>
          </w:r>
          <w:r>
            <w:rPr>
              <w:rFonts w:cs="Arial"/>
              <w:color w:val="000000" w:themeColor="text1"/>
              <w:szCs w:val="24"/>
            </w:rPr>
            <w:t xml:space="preserve"> given </w:t>
          </w:r>
          <w:r w:rsidR="00036E98" w:rsidRPr="00E666CD">
            <w:rPr>
              <w:rFonts w:cs="Arial"/>
              <w:color w:val="000000" w:themeColor="text1"/>
              <w:szCs w:val="24"/>
            </w:rPr>
            <w:t>to</w:t>
          </w:r>
          <w:r>
            <w:rPr>
              <w:rFonts w:cs="Arial"/>
              <w:color w:val="000000" w:themeColor="text1"/>
              <w:szCs w:val="24"/>
            </w:rPr>
            <w:t xml:space="preserve"> help</w:t>
          </w:r>
          <w:r w:rsidR="007841B5" w:rsidRPr="00E666CD">
            <w:rPr>
              <w:rFonts w:cs="Arial"/>
              <w:color w:val="000000" w:themeColor="text1"/>
              <w:szCs w:val="24"/>
            </w:rPr>
            <w:t xml:space="preserve"> </w:t>
          </w:r>
          <w:r w:rsidR="00B16461" w:rsidRPr="00E666CD">
            <w:rPr>
              <w:rFonts w:cs="Arial"/>
              <w:color w:val="000000" w:themeColor="text1"/>
              <w:szCs w:val="24"/>
            </w:rPr>
            <w:t>ident</w:t>
          </w:r>
          <w:r w:rsidR="007841B5" w:rsidRPr="00E666CD">
            <w:rPr>
              <w:rFonts w:cs="Arial"/>
              <w:color w:val="000000" w:themeColor="text1"/>
              <w:szCs w:val="24"/>
            </w:rPr>
            <w:t>i</w:t>
          </w:r>
          <w:r w:rsidR="00036E98" w:rsidRPr="00E666CD">
            <w:rPr>
              <w:rFonts w:cs="Arial"/>
              <w:color w:val="000000" w:themeColor="text1"/>
              <w:szCs w:val="24"/>
            </w:rPr>
            <w:t>fy</w:t>
          </w:r>
          <w:r w:rsidR="00B16461" w:rsidRPr="00E666CD">
            <w:rPr>
              <w:rFonts w:cs="Arial"/>
              <w:color w:val="000000" w:themeColor="text1"/>
              <w:szCs w:val="24"/>
            </w:rPr>
            <w:t xml:space="preserve"> sol</w:t>
          </w:r>
          <w:r w:rsidR="00D43437" w:rsidRPr="00E666CD">
            <w:rPr>
              <w:rFonts w:cs="Arial"/>
              <w:color w:val="000000" w:themeColor="text1"/>
              <w:szCs w:val="24"/>
            </w:rPr>
            <w:t>utions and activities that businesses</w:t>
          </w:r>
          <w:r w:rsidR="00B16461" w:rsidRPr="00E666CD">
            <w:rPr>
              <w:rFonts w:cs="Arial"/>
              <w:color w:val="000000" w:themeColor="text1"/>
              <w:szCs w:val="24"/>
            </w:rPr>
            <w:t>, indus</w:t>
          </w:r>
          <w:r w:rsidR="007841B5" w:rsidRPr="00E666CD">
            <w:rPr>
              <w:rFonts w:cs="Arial"/>
              <w:color w:val="000000" w:themeColor="text1"/>
              <w:szCs w:val="24"/>
            </w:rPr>
            <w:t>try bodies</w:t>
          </w:r>
          <w:r w:rsidR="00BB69F0" w:rsidRPr="00E666CD">
            <w:rPr>
              <w:rFonts w:cs="Arial"/>
              <w:color w:val="000000" w:themeColor="text1"/>
              <w:szCs w:val="24"/>
            </w:rPr>
            <w:t xml:space="preserve"> including Grower Groups and governments</w:t>
          </w:r>
          <w:r w:rsidR="007841B5" w:rsidRPr="00E666CD">
            <w:rPr>
              <w:rFonts w:cs="Arial"/>
              <w:color w:val="000000" w:themeColor="text1"/>
              <w:szCs w:val="24"/>
            </w:rPr>
            <w:t xml:space="preserve"> can take</w:t>
          </w:r>
          <w:r w:rsidR="00B16461" w:rsidRPr="00E666CD">
            <w:rPr>
              <w:rFonts w:cs="Arial"/>
              <w:color w:val="000000" w:themeColor="text1"/>
              <w:szCs w:val="24"/>
            </w:rPr>
            <w:t xml:space="preserve"> to improve</w:t>
          </w:r>
          <w:r w:rsidR="007841B5" w:rsidRPr="00E666CD">
            <w:rPr>
              <w:rFonts w:cs="Arial"/>
              <w:color w:val="000000" w:themeColor="text1"/>
              <w:szCs w:val="24"/>
            </w:rPr>
            <w:t xml:space="preserve"> competitiveness</w:t>
          </w:r>
          <w:r w:rsidR="00B57566" w:rsidRPr="00E666CD">
            <w:rPr>
              <w:rFonts w:cs="Arial"/>
              <w:color w:val="000000" w:themeColor="text1"/>
              <w:szCs w:val="24"/>
            </w:rPr>
            <w:t xml:space="preserve"> </w:t>
          </w:r>
          <w:r w:rsidR="00BB69F0" w:rsidRPr="00E666CD">
            <w:rPr>
              <w:rFonts w:cs="Arial"/>
              <w:color w:val="000000" w:themeColor="text1"/>
              <w:szCs w:val="24"/>
            </w:rPr>
            <w:t xml:space="preserve">based on the </w:t>
          </w:r>
          <w:r w:rsidR="00B85D52" w:rsidRPr="00E666CD">
            <w:rPr>
              <w:rFonts w:cs="Arial"/>
              <w:color w:val="000000" w:themeColor="text1"/>
              <w:szCs w:val="24"/>
            </w:rPr>
            <w:t xml:space="preserve">described </w:t>
          </w:r>
          <w:r w:rsidR="00BB69F0" w:rsidRPr="00E666CD">
            <w:rPr>
              <w:rFonts w:cs="Arial"/>
              <w:color w:val="000000" w:themeColor="text1"/>
              <w:szCs w:val="24"/>
            </w:rPr>
            <w:t>framework.</w:t>
          </w:r>
        </w:p>
        <w:p w:rsidR="000249E7" w:rsidRDefault="0021651D" w:rsidP="000249E7">
          <w:pPr>
            <w:rPr>
              <w:rFonts w:cs="Arial"/>
              <w:color w:val="000000" w:themeColor="text1"/>
              <w:szCs w:val="24"/>
            </w:rPr>
          </w:pPr>
        </w:p>
      </w:sdtContent>
    </w:sdt>
    <w:sdt>
      <w:sdtPr>
        <w:rPr>
          <w:b/>
          <w:color w:val="007D57"/>
        </w:rPr>
        <w:id w:val="31307458"/>
        <w:docPartObj>
          <w:docPartGallery w:val="Cover Pages"/>
          <w:docPartUnique/>
        </w:docPartObj>
      </w:sdtPr>
      <w:sdtEndPr>
        <w:rPr>
          <w:b w:val="0"/>
          <w:color w:val="231F20"/>
        </w:rPr>
      </w:sdtEndPr>
      <w:sdtContent>
        <w:p w:rsidR="00A30772" w:rsidRDefault="00467D4F" w:rsidP="00AC09A8">
          <w:pPr>
            <w:keepNext/>
            <w:keepLines/>
            <w:spacing w:before="160" w:after="120"/>
            <w:outlineLvl w:val="1"/>
            <w:rPr>
              <w:rFonts w:eastAsiaTheme="majorEastAsia" w:cstheme="majorBidi"/>
              <w:b/>
              <w:bCs/>
              <w:color w:val="007D57"/>
              <w:sz w:val="26"/>
              <w:szCs w:val="26"/>
            </w:rPr>
          </w:pPr>
          <w:r>
            <w:rPr>
              <w:rFonts w:eastAsiaTheme="majorEastAsia" w:cstheme="majorBidi"/>
              <w:b/>
              <w:bCs/>
              <w:color w:val="007D57"/>
              <w:sz w:val="26"/>
              <w:szCs w:val="26"/>
            </w:rPr>
            <w:t>Eligibility</w:t>
          </w:r>
          <w:r w:rsidR="00DE64F4" w:rsidRPr="007F6306">
            <w:rPr>
              <w:rFonts w:eastAsiaTheme="majorEastAsia" w:cstheme="majorBidi"/>
              <w:b/>
              <w:bCs/>
              <w:color w:val="007D57"/>
              <w:sz w:val="26"/>
              <w:szCs w:val="26"/>
            </w:rPr>
            <w:t xml:space="preserve"> </w:t>
          </w:r>
          <w:r w:rsidR="001D3A93" w:rsidRPr="007F6306">
            <w:rPr>
              <w:rFonts w:eastAsiaTheme="majorEastAsia" w:cstheme="majorBidi"/>
              <w:b/>
              <w:bCs/>
              <w:color w:val="007D57"/>
              <w:sz w:val="26"/>
              <w:szCs w:val="26"/>
            </w:rPr>
            <w:t>c</w:t>
          </w:r>
          <w:r w:rsidR="00A30772" w:rsidRPr="007F6306">
            <w:rPr>
              <w:rFonts w:eastAsiaTheme="majorEastAsia" w:cstheme="majorBidi"/>
              <w:b/>
              <w:bCs/>
              <w:color w:val="007D57"/>
              <w:sz w:val="26"/>
              <w:szCs w:val="26"/>
            </w:rPr>
            <w:t>riteria</w:t>
          </w:r>
        </w:p>
        <w:p w:rsidR="007F53CD" w:rsidRPr="007F53CD" w:rsidRDefault="007F53CD" w:rsidP="00AC09A8">
          <w:pPr>
            <w:keepNext/>
            <w:keepLines/>
            <w:spacing w:before="160" w:after="120"/>
            <w:outlineLvl w:val="1"/>
            <w:rPr>
              <w:rFonts w:cs="Arial"/>
              <w:color w:val="000000" w:themeColor="text1"/>
              <w:szCs w:val="24"/>
            </w:rPr>
          </w:pPr>
          <w:r w:rsidRPr="007F53CD">
            <w:rPr>
              <w:rFonts w:cs="Arial"/>
              <w:color w:val="000000" w:themeColor="text1"/>
              <w:szCs w:val="24"/>
            </w:rPr>
            <w:t>A</w:t>
          </w:r>
          <w:r>
            <w:rPr>
              <w:rFonts w:cs="Arial"/>
              <w:color w:val="000000" w:themeColor="text1"/>
              <w:szCs w:val="24"/>
            </w:rPr>
            <w:t xml:space="preserve"> proposal must comply with the f</w:t>
          </w:r>
          <w:r w:rsidR="001664C4">
            <w:rPr>
              <w:rFonts w:cs="Arial"/>
              <w:color w:val="000000" w:themeColor="text1"/>
              <w:szCs w:val="24"/>
            </w:rPr>
            <w:t>ollowing conditions to be eligi</w:t>
          </w:r>
          <w:r>
            <w:rPr>
              <w:rFonts w:cs="Arial"/>
              <w:color w:val="000000" w:themeColor="text1"/>
              <w:szCs w:val="24"/>
            </w:rPr>
            <w:t xml:space="preserve">ble to </w:t>
          </w:r>
          <w:r w:rsidR="001664C4">
            <w:rPr>
              <w:rFonts w:cs="Arial"/>
              <w:color w:val="000000" w:themeColor="text1"/>
              <w:szCs w:val="24"/>
            </w:rPr>
            <w:t>be considered:</w:t>
          </w:r>
        </w:p>
        <w:p w:rsidR="00823FAB" w:rsidRDefault="00823FAB" w:rsidP="00823FAB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>
            <w:t xml:space="preserve">The </w:t>
          </w:r>
          <w:r w:rsidR="000F3323">
            <w:t>applicant</w:t>
          </w:r>
          <w:r w:rsidR="00EA0C50">
            <w:t xml:space="preserve"> for</w:t>
          </w:r>
          <w:r w:rsidR="00D46760">
            <w:t xml:space="preserve"> </w:t>
          </w:r>
          <w:r w:rsidR="007404FF">
            <w:t>GGRD2</w:t>
          </w:r>
          <w:r w:rsidR="00EA0C50">
            <w:t xml:space="preserve"> funding</w:t>
          </w:r>
          <w:r w:rsidR="006E764E">
            <w:t xml:space="preserve"> </w:t>
          </w:r>
          <w:r w:rsidR="00B751FB">
            <w:t>(</w:t>
          </w:r>
          <w:r w:rsidR="00DB34FC">
            <w:t>who will</w:t>
          </w:r>
          <w:r w:rsidR="006E764E">
            <w:t xml:space="preserve"> become the </w:t>
          </w:r>
          <w:r w:rsidR="003802E3">
            <w:t xml:space="preserve">grantee </w:t>
          </w:r>
          <w:r w:rsidR="00B751FB">
            <w:t>if successful)</w:t>
          </w:r>
          <w:r w:rsidR="006E764E">
            <w:t xml:space="preserve"> must be</w:t>
          </w:r>
          <w:r w:rsidR="00F55A9B">
            <w:t xml:space="preserve"> a WA</w:t>
          </w:r>
          <w:r w:rsidR="00724CC9">
            <w:t>-based</w:t>
          </w:r>
          <w:r w:rsidR="00FA618B">
            <w:t xml:space="preserve"> </w:t>
          </w:r>
          <w:r w:rsidR="00F55A9B">
            <w:t xml:space="preserve">Grower Group or </w:t>
          </w:r>
          <w:r w:rsidR="00024684">
            <w:t xml:space="preserve">other </w:t>
          </w:r>
          <w:r w:rsidR="006D19B5">
            <w:t xml:space="preserve">WA-based </w:t>
          </w:r>
          <w:r w:rsidR="00F55A9B" w:rsidRPr="00D33380">
            <w:t>not-for prof</w:t>
          </w:r>
          <w:r w:rsidR="00F55A9B">
            <w:t>it, farmer-driven organisation</w:t>
          </w:r>
          <w:r w:rsidR="006D19B5">
            <w:t>,</w:t>
          </w:r>
          <w:r w:rsidR="00724CC9">
            <w:t xml:space="preserve"> </w:t>
          </w:r>
          <w:r w:rsidR="006D19B5">
            <w:t>incorporated</w:t>
          </w:r>
          <w:r w:rsidR="007F53CD">
            <w:t>,</w:t>
          </w:r>
          <w:r w:rsidR="006D19B5">
            <w:t xml:space="preserve"> </w:t>
          </w:r>
          <w:r w:rsidR="00724CC9">
            <w:t xml:space="preserve">with an </w:t>
          </w:r>
          <w:r w:rsidR="00DB34FC">
            <w:t>Australian Business Number</w:t>
          </w:r>
          <w:r w:rsidR="00724CC9">
            <w:t xml:space="preserve"> and registered for GST</w:t>
          </w:r>
          <w:r w:rsidR="009D0FAB">
            <w:t>; and</w:t>
          </w:r>
          <w:r w:rsidR="00724CC9">
            <w:t xml:space="preserve"> capable of entering into a legally binding agreement with the Western Australian </w:t>
          </w:r>
          <w:r w:rsidR="009D0FAB">
            <w:t>Agriculture Authority</w:t>
          </w:r>
          <w:r w:rsidR="00B751FB">
            <w:t>.</w:t>
          </w:r>
        </w:p>
        <w:p w:rsidR="00FA618B" w:rsidRPr="00FA618B" w:rsidRDefault="001664C4" w:rsidP="00FA618B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>
            <w:t>A</w:t>
          </w:r>
          <w:r w:rsidR="00FA618B" w:rsidRPr="00FA618B">
            <w:t xml:space="preserve">pplicants </w:t>
          </w:r>
          <w:r>
            <w:t>and</w:t>
          </w:r>
          <w:r w:rsidR="00FA618B" w:rsidRPr="00FA618B">
            <w:t xml:space="preserve"> collaborators will make a contribution (cash and/or in-kind), </w:t>
          </w:r>
          <w:r>
            <w:t xml:space="preserve">equivalent to </w:t>
          </w:r>
          <w:r w:rsidR="00FA618B" w:rsidRPr="00FA618B">
            <w:t xml:space="preserve">at least 25% of the value of any grant </w:t>
          </w:r>
          <w:r>
            <w:t>requested</w:t>
          </w:r>
          <w:r w:rsidR="00FA618B" w:rsidRPr="00FA618B">
            <w:t xml:space="preserve"> from the Grower Group R&amp;D Grants Program.</w:t>
          </w:r>
        </w:p>
        <w:p w:rsidR="006D19B5" w:rsidRPr="00FA618B" w:rsidRDefault="00FA618B" w:rsidP="006D19B5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 w:rsidRPr="00FA618B">
            <w:tab/>
          </w:r>
          <w:r w:rsidR="006D19B5" w:rsidRPr="00FA618B">
            <w:t>Commercial companies, non-agricultural not-for</w:t>
          </w:r>
          <w:r w:rsidR="00467D4F">
            <w:t>-</w:t>
          </w:r>
          <w:r w:rsidR="006D19B5" w:rsidRPr="00FA618B">
            <w:t>profits and public sector research institu</w:t>
          </w:r>
          <w:r w:rsidR="001664C4">
            <w:t>tions are not eligible to apply;</w:t>
          </w:r>
          <w:r w:rsidR="006D19B5" w:rsidRPr="00FA618B">
            <w:t xml:space="preserve"> but their participation in collaborative projects led by eligible organisations is strongly encouraged.</w:t>
          </w:r>
        </w:p>
        <w:p w:rsidR="007F53CD" w:rsidRPr="00FA618B" w:rsidRDefault="007F53CD" w:rsidP="007F53C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 w:rsidRPr="00FA618B">
            <w:t>Eligible applicants who do not have the necessary skills in-house should collaborate with suitable organisations (eg</w:t>
          </w:r>
          <w:r w:rsidR="00467D4F">
            <w:t>.</w:t>
          </w:r>
          <w:r w:rsidRPr="00FA618B">
            <w:t xml:space="preserve"> public sector research institutions or professional service providers) to ensure they meet these requirements.</w:t>
          </w:r>
        </w:p>
        <w:p w:rsidR="00A07618" w:rsidRDefault="00FA618B" w:rsidP="00FA618B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 w:rsidRPr="00FA618B">
            <w:t>It is essential that proposed projects align with the focus and scope of the Program; are based on sound evidence and information; are well designed and technically feasible; and applicants and their collaborators have the capacity and capability to undertake the project successfully.</w:t>
          </w:r>
        </w:p>
        <w:p w:rsidR="00FA618B" w:rsidRPr="00FA618B" w:rsidRDefault="00FA618B" w:rsidP="00A07618">
          <w:pPr>
            <w:pStyle w:val="ListParagraph"/>
            <w:numPr>
              <w:ilvl w:val="0"/>
              <w:numId w:val="0"/>
            </w:numPr>
            <w:spacing w:before="120" w:after="120" w:line="240" w:lineRule="auto"/>
            <w:ind w:left="714"/>
            <w:contextualSpacing w:val="0"/>
          </w:pPr>
          <w:r w:rsidRPr="00FA618B">
            <w:t xml:space="preserve"> </w:t>
          </w:r>
        </w:p>
        <w:p w:rsidR="000B72E6" w:rsidRPr="007F6306" w:rsidRDefault="000B72E6" w:rsidP="00AC09A8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Desirable criteria</w:t>
          </w:r>
        </w:p>
        <w:p w:rsidR="00C6627F" w:rsidRPr="000F545B" w:rsidRDefault="00895163" w:rsidP="003515C2">
          <w:pPr>
            <w:rPr>
              <w:rFonts w:cs="Arial"/>
            </w:rPr>
          </w:pPr>
          <w:r>
            <w:rPr>
              <w:rFonts w:cs="Arial"/>
            </w:rPr>
            <w:t xml:space="preserve">A </w:t>
          </w:r>
          <w:r w:rsidR="00F621F5">
            <w:rPr>
              <w:rFonts w:cs="Arial"/>
            </w:rPr>
            <w:t>p</w:t>
          </w:r>
          <w:r w:rsidR="00BC57ED">
            <w:rPr>
              <w:rFonts w:cs="Arial"/>
            </w:rPr>
            <w:t>roposal</w:t>
          </w:r>
          <w:r w:rsidR="00C6627F" w:rsidRPr="000F545B">
            <w:rPr>
              <w:rFonts w:cs="Arial"/>
            </w:rPr>
            <w:t xml:space="preserve"> will be viewed </w:t>
          </w:r>
          <w:r w:rsidR="003515C2" w:rsidRPr="000F545B">
            <w:rPr>
              <w:rFonts w:cs="Arial"/>
            </w:rPr>
            <w:t xml:space="preserve">more </w:t>
          </w:r>
          <w:r w:rsidR="00C6627F" w:rsidRPr="000F545B">
            <w:rPr>
              <w:rFonts w:cs="Arial"/>
            </w:rPr>
            <w:t>favourably</w:t>
          </w:r>
          <w:r>
            <w:rPr>
              <w:rFonts w:cs="Arial"/>
            </w:rPr>
            <w:t xml:space="preserve"> if the applicant</w:t>
          </w:r>
          <w:r w:rsidR="003515C2" w:rsidRPr="000F545B">
            <w:rPr>
              <w:rFonts w:cs="Arial"/>
            </w:rPr>
            <w:t xml:space="preserve"> can demonstrate</w:t>
          </w:r>
          <w:r w:rsidR="00C6627F" w:rsidRPr="000F545B">
            <w:rPr>
              <w:rFonts w:cs="Arial"/>
            </w:rPr>
            <w:t>:</w:t>
          </w:r>
        </w:p>
        <w:p w:rsidR="00237DE1" w:rsidRDefault="00471DCA" w:rsidP="00BC57E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>
            <w:t>H</w:t>
          </w:r>
          <w:r w:rsidR="00895163">
            <w:t>ow the project will</w:t>
          </w:r>
          <w:r w:rsidR="004F59D3" w:rsidRPr="000F545B">
            <w:t xml:space="preserve"> assist </w:t>
          </w:r>
          <w:r w:rsidR="001664C4">
            <w:t>Grower Groups and their membership</w:t>
          </w:r>
          <w:r w:rsidR="004F59D3" w:rsidRPr="000F545B">
            <w:t xml:space="preserve"> to </w:t>
          </w:r>
          <w:r w:rsidR="001664C4">
            <w:t>contribute towards achieving the State Government’s goal of doubling the value of the agriculture sector in Western Australia by 2025.</w:t>
          </w:r>
        </w:p>
        <w:p w:rsidR="004F59D3" w:rsidRPr="00111474" w:rsidRDefault="00471DCA" w:rsidP="00BC57E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>
            <w:t>T</w:t>
          </w:r>
          <w:r w:rsidR="004F59D3" w:rsidRPr="00111474">
            <w:t xml:space="preserve">he extent to which </w:t>
          </w:r>
          <w:r w:rsidR="000F3323">
            <w:t>the project includes</w:t>
          </w:r>
          <w:r w:rsidR="00E736E8" w:rsidRPr="00111474">
            <w:t xml:space="preserve"> </w:t>
          </w:r>
          <w:r w:rsidR="00983ADF">
            <w:t>relationships with</w:t>
          </w:r>
          <w:r w:rsidR="000F3323">
            <w:t xml:space="preserve"> businesses that </w:t>
          </w:r>
          <w:r w:rsidR="00895163">
            <w:t xml:space="preserve">can </w:t>
          </w:r>
          <w:r w:rsidR="00983ADF">
            <w:t xml:space="preserve">assist Western Australian </w:t>
          </w:r>
          <w:r w:rsidR="007F53CD">
            <w:t>Grower Groups and their members</w:t>
          </w:r>
          <w:r w:rsidR="00983ADF">
            <w:t xml:space="preserve"> to adopt</w:t>
          </w:r>
          <w:r w:rsidR="000F3323">
            <w:t xml:space="preserve"> </w:t>
          </w:r>
          <w:r w:rsidR="009C60E5">
            <w:t xml:space="preserve">proven </w:t>
          </w:r>
          <w:r w:rsidR="00983ADF">
            <w:t>world-class practices</w:t>
          </w:r>
          <w:r w:rsidR="00554A7E">
            <w:t xml:space="preserve"> and knowledge of international markets</w:t>
          </w:r>
          <w:r w:rsidR="00E72C87">
            <w:t>.</w:t>
          </w:r>
        </w:p>
        <w:p w:rsidR="006D19B5" w:rsidRPr="007F53CD" w:rsidRDefault="006D19B5" w:rsidP="007F53C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 w:rsidRPr="007F53CD">
            <w:t xml:space="preserve">The extent to which </w:t>
          </w:r>
          <w:r w:rsidR="001664C4">
            <w:t>project participants towards the consumer-</w:t>
          </w:r>
          <w:r w:rsidRPr="007F53CD">
            <w:t xml:space="preserve">end of </w:t>
          </w:r>
          <w:r w:rsidR="001664C4">
            <w:t xml:space="preserve">a </w:t>
          </w:r>
          <w:r w:rsidRPr="007F53CD">
            <w:t>value chain are integrated into the project.</w:t>
          </w:r>
        </w:p>
        <w:p w:rsidR="00B83C58" w:rsidRPr="000F545B" w:rsidRDefault="00471DCA" w:rsidP="00BC57E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</w:pPr>
          <w:r>
            <w:t>T</w:t>
          </w:r>
          <w:r w:rsidR="00B83C58" w:rsidRPr="00B83C58">
            <w:t xml:space="preserve">he budget represents value for </w:t>
          </w:r>
          <w:r w:rsidR="000B2FF6">
            <w:t>the investment of State Government funds</w:t>
          </w:r>
          <w:r w:rsidR="00E72C87">
            <w:t>.</w:t>
          </w:r>
        </w:p>
        <w:p w:rsidR="00A67A42" w:rsidRDefault="007F53CD" w:rsidP="00BC57ED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ind w:left="714" w:hanging="357"/>
            <w:contextualSpacing w:val="0"/>
            <w:rPr>
              <w:rFonts w:cs="Arial"/>
            </w:rPr>
          </w:pPr>
          <w:r>
            <w:rPr>
              <w:rFonts w:cs="Arial"/>
            </w:rPr>
            <w:t>C</w:t>
          </w:r>
          <w:r w:rsidR="000F3323">
            <w:rPr>
              <w:rFonts w:cs="Arial"/>
            </w:rPr>
            <w:t>o-investment</w:t>
          </w:r>
          <w:r w:rsidR="00BA480D">
            <w:rPr>
              <w:rFonts w:cs="Arial"/>
            </w:rPr>
            <w:t xml:space="preserve"> from the applicant and </w:t>
          </w:r>
          <w:r w:rsidR="000F3323">
            <w:rPr>
              <w:rFonts w:cs="Arial"/>
            </w:rPr>
            <w:t>other project participants</w:t>
          </w:r>
          <w:r w:rsidR="00B47D8F">
            <w:rPr>
              <w:rFonts w:cs="Arial"/>
            </w:rPr>
            <w:t xml:space="preserve"> </w:t>
          </w:r>
          <w:r w:rsidR="000B2FF6">
            <w:rPr>
              <w:rFonts w:cs="Arial"/>
            </w:rPr>
            <w:t xml:space="preserve">is commensurate with the benefits likely to </w:t>
          </w:r>
          <w:r>
            <w:rPr>
              <w:rFonts w:cs="Arial"/>
            </w:rPr>
            <w:t xml:space="preserve">be </w:t>
          </w:r>
          <w:r w:rsidR="000B2FF6">
            <w:rPr>
              <w:rFonts w:cs="Arial"/>
            </w:rPr>
            <w:t>receive</w:t>
          </w:r>
          <w:r>
            <w:rPr>
              <w:rFonts w:cs="Arial"/>
            </w:rPr>
            <w:t xml:space="preserve">d </w:t>
          </w:r>
          <w:r w:rsidR="000B2FF6">
            <w:rPr>
              <w:rFonts w:cs="Arial"/>
            </w:rPr>
            <w:t xml:space="preserve">if the outcomes are </w:t>
          </w:r>
          <w:r w:rsidR="00895B25">
            <w:rPr>
              <w:rFonts w:cs="Arial"/>
            </w:rPr>
            <w:t>achieved</w:t>
          </w:r>
          <w:r w:rsidR="00E72C87">
            <w:rPr>
              <w:rFonts w:cs="Arial"/>
            </w:rPr>
            <w:t>.</w:t>
          </w:r>
          <w:r w:rsidR="00C2203E" w:rsidRPr="000F545B">
            <w:rPr>
              <w:rFonts w:cs="Arial"/>
            </w:rPr>
            <w:t xml:space="preserve"> </w:t>
          </w:r>
        </w:p>
        <w:p w:rsidR="006D19B5" w:rsidRPr="006D19B5" w:rsidRDefault="007F53CD" w:rsidP="006D19B5">
          <w:pPr>
            <w:pStyle w:val="ListParagraph"/>
            <w:numPr>
              <w:ilvl w:val="0"/>
              <w:numId w:val="17"/>
            </w:numPr>
            <w:spacing w:before="120" w:after="120" w:line="240" w:lineRule="auto"/>
            <w:rPr>
              <w:rFonts w:cs="Arial"/>
            </w:rPr>
          </w:pPr>
          <w:r>
            <w:rPr>
              <w:rFonts w:cs="Arial"/>
            </w:rPr>
            <w:t>A high</w:t>
          </w:r>
          <w:r w:rsidR="006D19B5" w:rsidRPr="006D19B5">
            <w:rPr>
              <w:rFonts w:cs="Arial"/>
            </w:rPr>
            <w:t xml:space="preserve"> percentage of cash</w:t>
          </w:r>
          <w:r w:rsidR="001664C4">
            <w:rPr>
              <w:rFonts w:cs="Arial"/>
            </w:rPr>
            <w:t>,</w:t>
          </w:r>
          <w:r w:rsidR="006D19B5" w:rsidRPr="006D19B5">
            <w:rPr>
              <w:rFonts w:cs="Arial"/>
            </w:rPr>
            <w:t xml:space="preserve"> </w:t>
          </w:r>
          <w:r>
            <w:rPr>
              <w:rFonts w:cs="Arial"/>
            </w:rPr>
            <w:t>as a proportion of</w:t>
          </w:r>
          <w:r w:rsidR="006D19B5" w:rsidRPr="006D19B5">
            <w:rPr>
              <w:rFonts w:cs="Arial"/>
            </w:rPr>
            <w:t xml:space="preserve"> total co-contribution from the applicant and collaborators</w:t>
          </w:r>
          <w:r w:rsidR="001664C4">
            <w:rPr>
              <w:rFonts w:cs="Arial"/>
            </w:rPr>
            <w:t>, is committed to the project</w:t>
          </w:r>
          <w:r w:rsidR="006D19B5" w:rsidRPr="006D19B5">
            <w:rPr>
              <w:rFonts w:cs="Arial"/>
            </w:rPr>
            <w:t xml:space="preserve">. </w:t>
          </w:r>
        </w:p>
        <w:p w:rsidR="00A67A42" w:rsidRPr="00A67A42" w:rsidRDefault="00A67A42" w:rsidP="00A67A42">
          <w:pPr>
            <w:spacing w:after="0"/>
            <w:rPr>
              <w:rFonts w:cs="Arial"/>
            </w:rPr>
          </w:pPr>
        </w:p>
        <w:p w:rsidR="00F52EE8" w:rsidRPr="007F6306" w:rsidRDefault="005F3E62" w:rsidP="0049739A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Focus and Scope of the Program</w:t>
          </w:r>
        </w:p>
        <w:p w:rsidR="009F29E8" w:rsidRDefault="009F29E8" w:rsidP="009F29E8">
          <w:pPr>
            <w:rPr>
              <w:bCs/>
            </w:rPr>
          </w:pPr>
          <w:r w:rsidRPr="00E666CD">
            <w:rPr>
              <w:rFonts w:cs="Arial"/>
            </w:rPr>
            <w:t xml:space="preserve">The </w:t>
          </w:r>
          <w:r w:rsidR="007404FF">
            <w:rPr>
              <w:rFonts w:cs="Arial"/>
            </w:rPr>
            <w:t>GGRD2</w:t>
          </w:r>
          <w:r w:rsidRPr="00E666CD">
            <w:rPr>
              <w:rFonts w:cs="Arial"/>
            </w:rPr>
            <w:t xml:space="preserve"> program will support organisations working together along supply/value chains </w:t>
          </w:r>
          <w:r w:rsidR="00467D4F" w:rsidRPr="00E666CD">
            <w:rPr>
              <w:rFonts w:cs="Arial"/>
            </w:rPr>
            <w:t>that</w:t>
          </w:r>
          <w:r w:rsidRPr="00E666CD">
            <w:rPr>
              <w:rFonts w:cs="Arial"/>
            </w:rPr>
            <w:t xml:space="preserve"> see their futures as part of an internationally competitive export oriented industry sector. </w:t>
          </w:r>
          <w:r>
            <w:rPr>
              <w:bCs/>
            </w:rPr>
            <w:t xml:space="preserve"> </w:t>
          </w:r>
          <w:r w:rsidR="00866CB4">
            <w:rPr>
              <w:bCs/>
            </w:rPr>
            <w:t>Applied market, product</w:t>
          </w:r>
          <w:r w:rsidR="000626E3">
            <w:rPr>
              <w:bCs/>
            </w:rPr>
            <w:t>, industry, business model and investment R&amp;D relevant to broad acre cropping and livestock, irrigated agriculture, horticulture, pastoral production, aquaculture and food manufacturing sectors are within the scope.</w:t>
          </w:r>
        </w:p>
        <w:p w:rsidR="006F0D7C" w:rsidRPr="007F6306" w:rsidRDefault="000626E3" w:rsidP="00F52EE8">
          <w:pPr>
            <w:spacing w:after="120"/>
            <w:rPr>
              <w:rFonts w:cs="Arial"/>
              <w:color w:val="000000" w:themeColor="text1"/>
              <w:szCs w:val="24"/>
            </w:rPr>
          </w:pPr>
          <w:r>
            <w:rPr>
              <w:rFonts w:cs="Arial"/>
              <w:color w:val="000000" w:themeColor="text1"/>
              <w:szCs w:val="24"/>
            </w:rPr>
            <w:t>Achieving i</w:t>
          </w:r>
          <w:r w:rsidR="009F29E8" w:rsidRPr="007F6306">
            <w:rPr>
              <w:rFonts w:cs="Arial"/>
              <w:color w:val="000000" w:themeColor="text1"/>
              <w:szCs w:val="24"/>
            </w:rPr>
            <w:t>nternational competitiveness by agribusinesses and industry</w:t>
          </w:r>
          <w:r>
            <w:rPr>
              <w:rFonts w:cs="Arial"/>
              <w:color w:val="000000" w:themeColor="text1"/>
              <w:szCs w:val="24"/>
            </w:rPr>
            <w:t xml:space="preserve"> </w:t>
          </w:r>
          <w:r w:rsidR="006F0D7C" w:rsidRPr="007F6306">
            <w:rPr>
              <w:rFonts w:cs="Arial"/>
              <w:color w:val="000000" w:themeColor="text1"/>
              <w:szCs w:val="24"/>
            </w:rPr>
            <w:t xml:space="preserve">stakeholders (see </w:t>
          </w:r>
          <w:r w:rsidRPr="000626E3">
            <w:rPr>
              <w:rFonts w:cs="Arial"/>
              <w:i/>
              <w:color w:val="000000" w:themeColor="text1"/>
              <w:szCs w:val="24"/>
            </w:rPr>
            <w:t>Pathways to Competitiveness</w:t>
          </w:r>
          <w:r>
            <w:rPr>
              <w:rFonts w:cs="Arial"/>
              <w:color w:val="000000" w:themeColor="text1"/>
              <w:szCs w:val="24"/>
            </w:rPr>
            <w:t xml:space="preserve"> </w:t>
          </w:r>
          <w:r w:rsidR="006F0D7C" w:rsidRPr="007F6306">
            <w:rPr>
              <w:rFonts w:cs="Arial"/>
              <w:color w:val="000000" w:themeColor="text1"/>
              <w:szCs w:val="24"/>
            </w:rPr>
            <w:t>Report p</w:t>
          </w:r>
          <w:r w:rsidR="00D32DA7" w:rsidRPr="007F6306">
            <w:rPr>
              <w:rFonts w:cs="Arial"/>
              <w:color w:val="000000" w:themeColor="text1"/>
              <w:szCs w:val="24"/>
            </w:rPr>
            <w:t>ages</w:t>
          </w:r>
          <w:r>
            <w:rPr>
              <w:rFonts w:cs="Arial"/>
              <w:color w:val="000000" w:themeColor="text1"/>
              <w:szCs w:val="24"/>
            </w:rPr>
            <w:t xml:space="preserve"> 38-45)</w:t>
          </w:r>
          <w:r w:rsidR="00513FE0" w:rsidRPr="007F6306">
            <w:rPr>
              <w:rFonts w:cs="Arial"/>
              <w:color w:val="000000" w:themeColor="text1"/>
              <w:szCs w:val="24"/>
            </w:rPr>
            <w:t xml:space="preserve"> </w:t>
          </w:r>
          <w:r>
            <w:rPr>
              <w:rFonts w:cs="Arial"/>
              <w:color w:val="000000" w:themeColor="text1"/>
              <w:szCs w:val="24"/>
            </w:rPr>
            <w:t>relies upon:</w:t>
          </w:r>
        </w:p>
        <w:p w:rsidR="009F29E8" w:rsidRPr="007F6306" w:rsidRDefault="005E4180" w:rsidP="005E4180">
          <w:pPr>
            <w:spacing w:before="120" w:after="120" w:line="240" w:lineRule="auto"/>
            <w:rPr>
              <w:rFonts w:cs="Arial"/>
              <w:i/>
              <w:color w:val="000000" w:themeColor="text1"/>
              <w:szCs w:val="24"/>
            </w:rPr>
          </w:pPr>
          <w:r w:rsidRPr="007F6306">
            <w:rPr>
              <w:rFonts w:cs="Arial"/>
              <w:i/>
              <w:color w:val="000000" w:themeColor="text1"/>
              <w:szCs w:val="24"/>
            </w:rPr>
            <w:t>W</w:t>
          </w:r>
          <w:r w:rsidR="00F52EE8" w:rsidRPr="007F6306">
            <w:rPr>
              <w:rFonts w:cs="Arial"/>
              <w:i/>
              <w:color w:val="000000" w:themeColor="text1"/>
              <w:szCs w:val="24"/>
            </w:rPr>
            <w:t>orld class production systems</w:t>
          </w:r>
          <w:r w:rsidR="00D32DA7" w:rsidRPr="007F6306">
            <w:rPr>
              <w:rFonts w:cs="Arial"/>
              <w:i/>
              <w:color w:val="000000" w:themeColor="text1"/>
              <w:szCs w:val="24"/>
            </w:rPr>
            <w:t>,</w:t>
          </w:r>
          <w:r w:rsidR="006F0D7C" w:rsidRPr="007F6306">
            <w:rPr>
              <w:rFonts w:cs="Arial"/>
              <w:i/>
              <w:color w:val="000000" w:themeColor="text1"/>
              <w:szCs w:val="24"/>
            </w:rPr>
            <w:t xml:space="preserve"> characterised by:</w:t>
          </w:r>
        </w:p>
        <w:p w:rsidR="006F0D7C" w:rsidRPr="007F6306" w:rsidRDefault="006F0D7C" w:rsidP="006F0D7C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High yields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6F0D7C" w:rsidP="006F0D7C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Large operations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6F0D7C" w:rsidP="006F0D7C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Proven/scalable systems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6F0D7C" w:rsidP="006F0D7C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Skills and experience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9F29E8" w:rsidRPr="007F6306" w:rsidRDefault="009F29E8" w:rsidP="005E4180">
          <w:pPr>
            <w:spacing w:before="120" w:after="120" w:line="240" w:lineRule="auto"/>
            <w:rPr>
              <w:rFonts w:cs="Arial"/>
              <w:i/>
              <w:color w:val="000000" w:themeColor="text1"/>
              <w:szCs w:val="24"/>
            </w:rPr>
          </w:pPr>
          <w:r w:rsidRPr="007F6306">
            <w:rPr>
              <w:rFonts w:cs="Arial"/>
              <w:i/>
              <w:color w:val="000000" w:themeColor="text1"/>
              <w:szCs w:val="24"/>
            </w:rPr>
            <w:t>E</w:t>
          </w:r>
          <w:r w:rsidR="00F52EE8" w:rsidRPr="007F6306">
            <w:rPr>
              <w:rFonts w:cs="Arial"/>
              <w:i/>
              <w:color w:val="000000" w:themeColor="text1"/>
              <w:szCs w:val="24"/>
            </w:rPr>
            <w:t>fficient primary</w:t>
          </w:r>
          <w:r w:rsidR="00A416B9" w:rsidRPr="007F6306">
            <w:rPr>
              <w:rFonts w:cs="Arial"/>
              <w:i/>
              <w:color w:val="000000" w:themeColor="text1"/>
              <w:szCs w:val="24"/>
            </w:rPr>
            <w:t>/wholesale</w:t>
          </w:r>
          <w:r w:rsidR="00F52EE8" w:rsidRPr="007F6306">
            <w:rPr>
              <w:rFonts w:cs="Arial"/>
              <w:i/>
              <w:color w:val="000000" w:themeColor="text1"/>
              <w:szCs w:val="24"/>
            </w:rPr>
            <w:t xml:space="preserve"> processing</w:t>
          </w:r>
          <w:r w:rsidR="00D32DA7" w:rsidRPr="007F6306">
            <w:rPr>
              <w:rFonts w:cs="Arial"/>
              <w:i/>
              <w:color w:val="000000" w:themeColor="text1"/>
              <w:szCs w:val="24"/>
            </w:rPr>
            <w:t>,</w:t>
          </w:r>
          <w:r w:rsidR="006F0D7C" w:rsidRPr="007F6306">
            <w:rPr>
              <w:rFonts w:cs="Arial"/>
              <w:i/>
              <w:color w:val="000000" w:themeColor="text1"/>
              <w:szCs w:val="24"/>
            </w:rPr>
            <w:t xml:space="preserve"> characterised by:</w:t>
          </w:r>
          <w:r w:rsidRPr="007F6306">
            <w:rPr>
              <w:rFonts w:cs="Arial"/>
              <w:i/>
              <w:color w:val="000000" w:themeColor="text1"/>
              <w:szCs w:val="24"/>
            </w:rPr>
            <w:t xml:space="preserve"> </w:t>
          </w:r>
        </w:p>
        <w:p w:rsidR="006F0D7C" w:rsidRPr="007F6306" w:rsidRDefault="006F0D7C" w:rsidP="00513FE0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Efficiency and productivity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6F0D7C" w:rsidP="00513FE0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At scale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6F0D7C" w:rsidP="00513FE0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Close to production areas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5337B3" w:rsidRPr="007F6306" w:rsidRDefault="009F29E8" w:rsidP="005E4180">
          <w:pPr>
            <w:spacing w:before="120" w:after="120" w:line="240" w:lineRule="auto"/>
            <w:rPr>
              <w:rFonts w:cs="Arial"/>
              <w:i/>
              <w:color w:val="000000" w:themeColor="text1"/>
              <w:szCs w:val="24"/>
            </w:rPr>
          </w:pPr>
          <w:r w:rsidRPr="007F6306">
            <w:rPr>
              <w:rFonts w:cs="Arial"/>
              <w:i/>
              <w:color w:val="000000" w:themeColor="text1"/>
              <w:szCs w:val="24"/>
            </w:rPr>
            <w:t>E</w:t>
          </w:r>
          <w:r w:rsidR="00A416B9" w:rsidRPr="007F6306">
            <w:rPr>
              <w:rFonts w:cs="Arial"/>
              <w:i/>
              <w:color w:val="000000" w:themeColor="text1"/>
              <w:szCs w:val="24"/>
            </w:rPr>
            <w:t>fficient value added-</w:t>
          </w:r>
          <w:r w:rsidR="00F52EE8" w:rsidRPr="007F6306">
            <w:rPr>
              <w:rFonts w:cs="Arial"/>
              <w:i/>
              <w:color w:val="000000" w:themeColor="text1"/>
              <w:szCs w:val="24"/>
            </w:rPr>
            <w:t>processing</w:t>
          </w:r>
          <w:r w:rsidR="00D32DA7" w:rsidRPr="007F6306">
            <w:rPr>
              <w:rFonts w:cs="Arial"/>
              <w:i/>
              <w:color w:val="000000" w:themeColor="text1"/>
              <w:szCs w:val="24"/>
            </w:rPr>
            <w:t>,</w:t>
          </w:r>
          <w:r w:rsidR="006F0D7C" w:rsidRPr="007F6306">
            <w:rPr>
              <w:rFonts w:cs="Arial"/>
              <w:i/>
              <w:color w:val="000000" w:themeColor="text1"/>
              <w:szCs w:val="24"/>
            </w:rPr>
            <w:t xml:space="preserve"> characterised by:</w:t>
          </w:r>
        </w:p>
        <w:p w:rsidR="00D32DA7" w:rsidRPr="007F6306" w:rsidRDefault="00D32DA7" w:rsidP="00513FE0">
          <w:pPr>
            <w:pStyle w:val="ListParagraph"/>
            <w:numPr>
              <w:ilvl w:val="0"/>
              <w:numId w:val="30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Efficiency and productivity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D32DA7" w:rsidRPr="007F6306" w:rsidRDefault="00D32DA7" w:rsidP="00513FE0">
          <w:pPr>
            <w:pStyle w:val="ListParagraph"/>
            <w:numPr>
              <w:ilvl w:val="0"/>
              <w:numId w:val="30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At scale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6F0D7C" w:rsidRPr="007F6306" w:rsidRDefault="00D32DA7" w:rsidP="00513FE0">
          <w:pPr>
            <w:pStyle w:val="ListParagraph"/>
            <w:numPr>
              <w:ilvl w:val="0"/>
              <w:numId w:val="30"/>
            </w:num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>Linked to markets</w:t>
          </w:r>
          <w:r w:rsidR="003C2E39">
            <w:rPr>
              <w:rFonts w:cs="Arial"/>
              <w:color w:val="000000" w:themeColor="text1"/>
              <w:szCs w:val="24"/>
            </w:rPr>
            <w:t>.</w:t>
          </w:r>
        </w:p>
        <w:p w:rsidR="00D63054" w:rsidRPr="007F6306" w:rsidRDefault="005F3E62" w:rsidP="00D63054">
          <w:pPr>
            <w:spacing w:before="120" w:after="120" w:line="240" w:lineRule="auto"/>
            <w:rPr>
              <w:rFonts w:cs="Arial"/>
              <w:color w:val="000000" w:themeColor="text1"/>
              <w:szCs w:val="24"/>
            </w:rPr>
          </w:pPr>
          <w:r w:rsidRPr="007F6306">
            <w:rPr>
              <w:rFonts w:cs="Arial"/>
              <w:color w:val="000000" w:themeColor="text1"/>
              <w:szCs w:val="24"/>
            </w:rPr>
            <w:t xml:space="preserve">Projects </w:t>
          </w:r>
          <w:r w:rsidR="00513FE0" w:rsidRPr="007F6306">
            <w:rPr>
              <w:rFonts w:cs="Arial"/>
              <w:color w:val="000000" w:themeColor="text1"/>
              <w:szCs w:val="24"/>
            </w:rPr>
            <w:t>and activities that are targeted at improving</w:t>
          </w:r>
          <w:r w:rsidRPr="007F6306">
            <w:rPr>
              <w:rFonts w:cs="Arial"/>
              <w:color w:val="000000" w:themeColor="text1"/>
              <w:szCs w:val="24"/>
            </w:rPr>
            <w:t xml:space="preserve"> international competitiveness</w:t>
          </w:r>
          <w:r w:rsidR="00513FE0" w:rsidRPr="007F6306">
            <w:rPr>
              <w:rFonts w:cs="Arial"/>
              <w:color w:val="000000" w:themeColor="text1"/>
              <w:szCs w:val="24"/>
            </w:rPr>
            <w:t xml:space="preserve"> by addressing these broad areas will be considered to be aligned with the focus and scope of the </w:t>
          </w:r>
          <w:r w:rsidR="007404FF">
            <w:rPr>
              <w:rFonts w:cs="Arial"/>
              <w:color w:val="000000" w:themeColor="text1"/>
              <w:szCs w:val="24"/>
            </w:rPr>
            <w:t>GGRD2</w:t>
          </w:r>
          <w:r w:rsidR="00513FE0" w:rsidRPr="007F6306">
            <w:rPr>
              <w:rFonts w:cs="Arial"/>
              <w:color w:val="000000" w:themeColor="text1"/>
              <w:szCs w:val="24"/>
            </w:rPr>
            <w:t xml:space="preserve"> program.</w:t>
          </w:r>
        </w:p>
        <w:p w:rsidR="00D63054" w:rsidRDefault="00D63054" w:rsidP="00D63054">
          <w:pPr>
            <w:spacing w:before="120" w:after="120" w:line="240" w:lineRule="auto"/>
            <w:rPr>
              <w:color w:val="000000" w:themeColor="text1"/>
            </w:rPr>
          </w:pPr>
          <w:r w:rsidRPr="00E666CD">
            <w:rPr>
              <w:color w:val="000000" w:themeColor="text1"/>
            </w:rPr>
            <w:t xml:space="preserve">Applicants from sectors that have </w:t>
          </w:r>
          <w:r w:rsidRPr="00E666CD">
            <w:rPr>
              <w:rFonts w:cs="Arial"/>
              <w:color w:val="000000" w:themeColor="text1"/>
            </w:rPr>
            <w:t xml:space="preserve">the </w:t>
          </w:r>
          <w:r w:rsidRPr="00E666CD">
            <w:rPr>
              <w:rFonts w:cs="Arial"/>
              <w:color w:val="000000" w:themeColor="text1"/>
              <w:szCs w:val="24"/>
            </w:rPr>
            <w:t xml:space="preserve">potential to grow rapidly, and </w:t>
          </w:r>
          <w:r w:rsidRPr="00E666CD">
            <w:rPr>
              <w:rFonts w:cs="Arial"/>
              <w:color w:val="000000" w:themeColor="text1"/>
            </w:rPr>
            <w:t xml:space="preserve">are actively seeking to become </w:t>
          </w:r>
          <w:r>
            <w:rPr>
              <w:rFonts w:cs="Arial"/>
              <w:color w:val="000000" w:themeColor="text1"/>
            </w:rPr>
            <w:t>internationally competitive</w:t>
          </w:r>
          <w:r w:rsidRPr="00E666CD">
            <w:rPr>
              <w:rFonts w:cs="Arial"/>
              <w:color w:val="000000" w:themeColor="text1"/>
            </w:rPr>
            <w:t xml:space="preserve"> </w:t>
          </w:r>
          <w:r w:rsidR="00A416B9">
            <w:rPr>
              <w:rFonts w:cs="Arial"/>
              <w:color w:val="000000" w:themeColor="text1"/>
            </w:rPr>
            <w:t>are encouraged to</w:t>
          </w:r>
          <w:r w:rsidRPr="00E666CD">
            <w:rPr>
              <w:rFonts w:cs="Arial"/>
              <w:color w:val="000000" w:themeColor="text1"/>
            </w:rPr>
            <w:t xml:space="preserve"> focus on </w:t>
          </w:r>
          <w:r w:rsidR="00A416B9">
            <w:rPr>
              <w:rFonts w:cs="Arial"/>
              <w:color w:val="000000" w:themeColor="text1"/>
            </w:rPr>
            <w:t xml:space="preserve">developing </w:t>
          </w:r>
          <w:r w:rsidRPr="00E666CD">
            <w:rPr>
              <w:rFonts w:cs="Arial"/>
              <w:color w:val="000000" w:themeColor="text1"/>
            </w:rPr>
            <w:t>world class</w:t>
          </w:r>
          <w:r w:rsidRPr="00E666CD">
            <w:rPr>
              <w:color w:val="000000" w:themeColor="text1"/>
            </w:rPr>
            <w:t xml:space="preserve"> production systems</w:t>
          </w:r>
          <w:r>
            <w:rPr>
              <w:color w:val="000000" w:themeColor="text1"/>
            </w:rPr>
            <w:t>.</w:t>
          </w:r>
        </w:p>
        <w:p w:rsidR="00D63054" w:rsidRDefault="00D63054" w:rsidP="00D63054">
          <w:pPr>
            <w:spacing w:before="120" w:after="120" w:line="240" w:lineRule="auto"/>
            <w:rPr>
              <w:color w:val="000000" w:themeColor="text1"/>
            </w:rPr>
          </w:pPr>
          <w:r w:rsidRPr="00E666CD">
            <w:rPr>
              <w:color w:val="000000" w:themeColor="text1"/>
            </w:rPr>
            <w:t xml:space="preserve">Applicants from sectors whose production systems are already at or near international competitiveness </w:t>
          </w:r>
          <w:r w:rsidR="00A416B9">
            <w:rPr>
              <w:color w:val="000000" w:themeColor="text1"/>
            </w:rPr>
            <w:t>are encouraged to</w:t>
          </w:r>
          <w:r w:rsidRPr="00E666CD">
            <w:rPr>
              <w:color w:val="000000" w:themeColor="text1"/>
            </w:rPr>
            <w:t xml:space="preserve"> focus on</w:t>
          </w:r>
          <w:r w:rsidR="00A416B9">
            <w:rPr>
              <w:color w:val="000000" w:themeColor="text1"/>
            </w:rPr>
            <w:t xml:space="preserve"> </w:t>
          </w:r>
          <w:r w:rsidRPr="00E666CD">
            <w:rPr>
              <w:color w:val="000000" w:themeColor="text1"/>
            </w:rPr>
            <w:t>efficient primary/wholesale processing and increased value-added processing</w:t>
          </w:r>
          <w:r w:rsidR="00765FEE">
            <w:rPr>
              <w:color w:val="000000" w:themeColor="text1"/>
            </w:rPr>
            <w:t>.</w:t>
          </w:r>
        </w:p>
        <w:p w:rsidR="00E75DE5" w:rsidRPr="00D63054" w:rsidRDefault="00E75DE5" w:rsidP="00D63054">
          <w:pPr>
            <w:spacing w:before="120" w:after="120" w:line="240" w:lineRule="auto"/>
            <w:rPr>
              <w:rFonts w:cs="Arial"/>
              <w:color w:val="00B050"/>
              <w:szCs w:val="24"/>
            </w:rPr>
          </w:pPr>
        </w:p>
        <w:p w:rsidR="00BA1E16" w:rsidRPr="007F6306" w:rsidRDefault="00BA1E16" w:rsidP="0049739A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Out of Scope Activities</w:t>
          </w:r>
        </w:p>
        <w:p w:rsidR="00BA1E16" w:rsidRPr="007F6306" w:rsidRDefault="00E1122A" w:rsidP="00BA1E16">
          <w:pPr>
            <w:rPr>
              <w:color w:val="000000" w:themeColor="text1"/>
            </w:rPr>
          </w:pPr>
          <w:r w:rsidRPr="007F6306">
            <w:rPr>
              <w:color w:val="000000" w:themeColor="text1"/>
            </w:rPr>
            <w:t>Funding</w:t>
          </w:r>
          <w:r w:rsidR="00BA1E16" w:rsidRPr="007F6306">
            <w:rPr>
              <w:color w:val="000000" w:themeColor="text1"/>
            </w:rPr>
            <w:t xml:space="preserve"> through the </w:t>
          </w:r>
          <w:r w:rsidR="007404FF">
            <w:rPr>
              <w:color w:val="000000" w:themeColor="text1"/>
            </w:rPr>
            <w:t>GGRD2</w:t>
          </w:r>
          <w:r w:rsidRPr="007F6306">
            <w:rPr>
              <w:color w:val="000000" w:themeColor="text1"/>
            </w:rPr>
            <w:t xml:space="preserve"> program </w:t>
          </w:r>
          <w:r w:rsidR="00BA1E16" w:rsidRPr="007F6306">
            <w:rPr>
              <w:color w:val="000000" w:themeColor="text1"/>
            </w:rPr>
            <w:t xml:space="preserve">will </w:t>
          </w:r>
          <w:r w:rsidR="00BA1E16" w:rsidRPr="007F6306">
            <w:rPr>
              <w:color w:val="000000" w:themeColor="text1"/>
              <w:u w:val="single"/>
            </w:rPr>
            <w:t>not</w:t>
          </w:r>
          <w:r w:rsidR="00BA1E16" w:rsidRPr="007F6306">
            <w:rPr>
              <w:color w:val="000000" w:themeColor="text1"/>
            </w:rPr>
            <w:t xml:space="preserve"> be supplied for:</w:t>
          </w:r>
        </w:p>
        <w:p w:rsidR="001A6FAC" w:rsidRPr="007F6306" w:rsidRDefault="00BA1E16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7F6306">
            <w:rPr>
              <w:color w:val="000000" w:themeColor="text1"/>
            </w:rPr>
            <w:t>Purchase of capital equipment</w:t>
          </w:r>
          <w:r w:rsidR="001A6FAC" w:rsidRPr="007F6306">
            <w:rPr>
              <w:color w:val="000000" w:themeColor="text1"/>
            </w:rPr>
            <w:t>, major infrastructure and land assets</w:t>
          </w:r>
          <w:r w:rsidR="00EE56F5" w:rsidRPr="007F6306">
            <w:rPr>
              <w:color w:val="000000" w:themeColor="text1"/>
            </w:rPr>
            <w:t>.</w:t>
          </w:r>
        </w:p>
        <w:p w:rsidR="001A6FAC" w:rsidRPr="007F6306" w:rsidRDefault="00954BCE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7F6306">
            <w:rPr>
              <w:bCs/>
              <w:color w:val="000000" w:themeColor="text1"/>
            </w:rPr>
            <w:t>Proposals for projects in n</w:t>
          </w:r>
          <w:r w:rsidR="00F621F5" w:rsidRPr="007F6306">
            <w:rPr>
              <w:bCs/>
              <w:color w:val="000000" w:themeColor="text1"/>
            </w:rPr>
            <w:t>on-agricultur</w:t>
          </w:r>
          <w:r w:rsidR="002F0083" w:rsidRPr="007F6306">
            <w:rPr>
              <w:bCs/>
              <w:color w:val="000000" w:themeColor="text1"/>
            </w:rPr>
            <w:t>e</w:t>
          </w:r>
          <w:r w:rsidR="003D36B8" w:rsidRPr="007F6306">
            <w:rPr>
              <w:bCs/>
              <w:color w:val="000000" w:themeColor="text1"/>
            </w:rPr>
            <w:t xml:space="preserve"> and food</w:t>
          </w:r>
          <w:r w:rsidR="00F621F5" w:rsidRPr="007F6306">
            <w:rPr>
              <w:bCs/>
              <w:color w:val="000000" w:themeColor="text1"/>
            </w:rPr>
            <w:t xml:space="preserve"> related industries and wild capture fishing</w:t>
          </w:r>
          <w:r w:rsidR="00EE56F5" w:rsidRPr="007F6306">
            <w:rPr>
              <w:bCs/>
              <w:color w:val="000000" w:themeColor="text1"/>
            </w:rPr>
            <w:t>.</w:t>
          </w:r>
        </w:p>
        <w:p w:rsidR="001A6FAC" w:rsidRPr="007F6306" w:rsidRDefault="00E72C87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7F6306">
            <w:rPr>
              <w:bCs/>
              <w:color w:val="000000" w:themeColor="text1"/>
            </w:rPr>
            <w:t>A</w:t>
          </w:r>
          <w:r w:rsidR="002F0083" w:rsidRPr="007F6306">
            <w:rPr>
              <w:bCs/>
              <w:color w:val="000000" w:themeColor="text1"/>
            </w:rPr>
            <w:t>ctivities</w:t>
          </w:r>
          <w:r w:rsidR="001A6FAC" w:rsidRPr="007F6306">
            <w:rPr>
              <w:bCs/>
              <w:color w:val="000000" w:themeColor="text1"/>
            </w:rPr>
            <w:t xml:space="preserve"> </w:t>
          </w:r>
          <w:r w:rsidRPr="007F6306">
            <w:rPr>
              <w:bCs/>
              <w:color w:val="000000" w:themeColor="text1"/>
            </w:rPr>
            <w:t xml:space="preserve">at a scale </w:t>
          </w:r>
          <w:r w:rsidR="001A6FAC" w:rsidRPr="007F6306">
            <w:rPr>
              <w:bCs/>
              <w:color w:val="000000" w:themeColor="text1"/>
            </w:rPr>
            <w:t xml:space="preserve">unlikely to </w:t>
          </w:r>
          <w:r w:rsidR="000B16D1" w:rsidRPr="007F6306">
            <w:rPr>
              <w:bCs/>
              <w:color w:val="000000" w:themeColor="text1"/>
            </w:rPr>
            <w:t>make a substantial contribution</w:t>
          </w:r>
          <w:r w:rsidR="001A6FAC" w:rsidRPr="007F6306">
            <w:rPr>
              <w:bCs/>
              <w:color w:val="000000" w:themeColor="text1"/>
            </w:rPr>
            <w:t xml:space="preserve"> to the State Government’s goal of doubling the value of the agrifood sector by 2025.</w:t>
          </w:r>
        </w:p>
        <w:p w:rsidR="00BA1E16" w:rsidRDefault="00D63054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7F6306">
            <w:rPr>
              <w:bCs/>
              <w:color w:val="000000" w:themeColor="text1"/>
            </w:rPr>
            <w:t>Incremental p</w:t>
          </w:r>
          <w:r w:rsidR="000B16D1" w:rsidRPr="007F6306">
            <w:rPr>
              <w:bCs/>
              <w:color w:val="000000" w:themeColor="text1"/>
            </w:rPr>
            <w:t xml:space="preserve">roduction orientated </w:t>
          </w:r>
          <w:r w:rsidR="00217920" w:rsidRPr="007F6306">
            <w:rPr>
              <w:bCs/>
              <w:color w:val="000000" w:themeColor="text1"/>
            </w:rPr>
            <w:t>RD&amp;E activities</w:t>
          </w:r>
          <w:r w:rsidR="00CC06C9" w:rsidRPr="007F6306">
            <w:rPr>
              <w:bCs/>
              <w:color w:val="000000" w:themeColor="text1"/>
            </w:rPr>
            <w:t xml:space="preserve"> that would </w:t>
          </w:r>
          <w:r w:rsidR="00217920" w:rsidRPr="007F6306">
            <w:rPr>
              <w:bCs/>
              <w:color w:val="000000" w:themeColor="text1"/>
            </w:rPr>
            <w:t xml:space="preserve">normally </w:t>
          </w:r>
          <w:r w:rsidR="00CC06C9" w:rsidRPr="007F6306">
            <w:rPr>
              <w:bCs/>
              <w:color w:val="000000" w:themeColor="text1"/>
            </w:rPr>
            <w:t>be supported through R</w:t>
          </w:r>
          <w:r w:rsidR="001A6FAC" w:rsidRPr="007F6306">
            <w:rPr>
              <w:bCs/>
              <w:color w:val="000000" w:themeColor="text1"/>
            </w:rPr>
            <w:t xml:space="preserve">ural </w:t>
          </w:r>
          <w:r w:rsidR="005822BF">
            <w:rPr>
              <w:bCs/>
              <w:color w:val="000000" w:themeColor="text1"/>
            </w:rPr>
            <w:t>R&amp;</w:t>
          </w:r>
          <w:r w:rsidR="00CC06C9" w:rsidRPr="007F6306">
            <w:rPr>
              <w:bCs/>
              <w:color w:val="000000" w:themeColor="text1"/>
            </w:rPr>
            <w:t>D</w:t>
          </w:r>
          <w:r w:rsidR="001A6FAC" w:rsidRPr="007F6306">
            <w:rPr>
              <w:bCs/>
              <w:color w:val="000000" w:themeColor="text1"/>
            </w:rPr>
            <w:t xml:space="preserve"> </w:t>
          </w:r>
          <w:r w:rsidR="00CC06C9" w:rsidRPr="007F6306">
            <w:rPr>
              <w:bCs/>
              <w:color w:val="000000" w:themeColor="text1"/>
            </w:rPr>
            <w:t>C</w:t>
          </w:r>
          <w:r w:rsidR="001A6FAC" w:rsidRPr="007F6306">
            <w:rPr>
              <w:bCs/>
              <w:color w:val="000000" w:themeColor="text1"/>
            </w:rPr>
            <w:t>orporation</w:t>
          </w:r>
          <w:r w:rsidR="000B16D1" w:rsidRPr="007F6306">
            <w:rPr>
              <w:bCs/>
              <w:color w:val="000000" w:themeColor="text1"/>
            </w:rPr>
            <w:t>s</w:t>
          </w:r>
          <w:r w:rsidR="00217920" w:rsidRPr="007F6306">
            <w:rPr>
              <w:bCs/>
              <w:color w:val="000000" w:themeColor="text1"/>
            </w:rPr>
            <w:t xml:space="preserve"> (or</w:t>
          </w:r>
          <w:r w:rsidR="001A6FAC" w:rsidRPr="007F6306">
            <w:rPr>
              <w:bCs/>
              <w:color w:val="000000" w:themeColor="text1"/>
            </w:rPr>
            <w:t xml:space="preserve"> similar)</w:t>
          </w:r>
          <w:r w:rsidR="00CC06C9" w:rsidRPr="007F6306">
            <w:rPr>
              <w:bCs/>
              <w:color w:val="000000" w:themeColor="text1"/>
            </w:rPr>
            <w:t xml:space="preserve"> funding mechanisms</w:t>
          </w:r>
          <w:r w:rsidR="00BA1E16" w:rsidRPr="007F6306">
            <w:rPr>
              <w:color w:val="000000" w:themeColor="text1"/>
            </w:rPr>
            <w:t>.</w:t>
          </w:r>
        </w:p>
        <w:p w:rsidR="009D6958" w:rsidRPr="009D6958" w:rsidRDefault="009D6958" w:rsidP="009D6958">
          <w:pPr>
            <w:spacing w:before="120" w:after="120" w:line="240" w:lineRule="auto"/>
            <w:rPr>
              <w:color w:val="000000" w:themeColor="text1"/>
            </w:rPr>
          </w:pPr>
        </w:p>
        <w:p w:rsidR="0049739A" w:rsidRPr="007F6306" w:rsidRDefault="00226E34" w:rsidP="0049739A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Preparing</w:t>
          </w:r>
          <w:r w:rsidR="00523F5B" w:rsidRPr="007F6306">
            <w:rPr>
              <w:color w:val="007D57"/>
            </w:rPr>
            <w:t xml:space="preserve"> </w:t>
          </w:r>
          <w:r w:rsidRPr="007F6306">
            <w:rPr>
              <w:color w:val="007D57"/>
            </w:rPr>
            <w:t>an a</w:t>
          </w:r>
          <w:r w:rsidR="00C2203E" w:rsidRPr="007F6306">
            <w:rPr>
              <w:color w:val="007D57"/>
            </w:rPr>
            <w:t>pplication</w:t>
          </w:r>
          <w:r w:rsidR="005F08F8" w:rsidRPr="007F6306">
            <w:rPr>
              <w:color w:val="007D57"/>
            </w:rPr>
            <w:t xml:space="preserve"> </w:t>
          </w:r>
        </w:p>
        <w:p w:rsidR="00B27AEE" w:rsidRDefault="00B27AEE" w:rsidP="00B27AEE">
          <w:pPr>
            <w:rPr>
              <w:bCs/>
            </w:rPr>
          </w:pPr>
          <w:r>
            <w:rPr>
              <w:bCs/>
            </w:rPr>
            <w:t xml:space="preserve">An </w:t>
          </w:r>
          <w:r w:rsidRPr="000626E3">
            <w:rPr>
              <w:bCs/>
              <w:i/>
            </w:rPr>
            <w:t>Expression of Interest</w:t>
          </w:r>
          <w:r>
            <w:rPr>
              <w:bCs/>
            </w:rPr>
            <w:t xml:space="preserve"> in </w:t>
          </w:r>
          <w:r w:rsidR="00467D4F">
            <w:rPr>
              <w:bCs/>
            </w:rPr>
            <w:t>a</w:t>
          </w:r>
          <w:r>
            <w:rPr>
              <w:bCs/>
            </w:rPr>
            <w:t xml:space="preserve"> </w:t>
          </w:r>
          <w:r w:rsidR="007404FF">
            <w:rPr>
              <w:bCs/>
            </w:rPr>
            <w:t>GGRD2</w:t>
          </w:r>
          <w:r>
            <w:rPr>
              <w:bCs/>
            </w:rPr>
            <w:t xml:space="preserve"> grant does not require a detailed budget, letters of support or </w:t>
          </w:r>
          <w:r w:rsidR="00523F5B">
            <w:rPr>
              <w:bCs/>
            </w:rPr>
            <w:t>lengthy</w:t>
          </w:r>
          <w:r>
            <w:rPr>
              <w:bCs/>
            </w:rPr>
            <w:t xml:space="preserve"> technical explanations.</w:t>
          </w:r>
          <w:r w:rsidR="00523F5B">
            <w:rPr>
              <w:bCs/>
            </w:rPr>
            <w:t xml:space="preserve"> </w:t>
          </w:r>
          <w:r w:rsidR="00467D4F">
            <w:rPr>
              <w:bCs/>
            </w:rPr>
            <w:t xml:space="preserve"> </w:t>
          </w:r>
          <w:r w:rsidR="00523F5B">
            <w:rPr>
              <w:bCs/>
            </w:rPr>
            <w:t xml:space="preserve">These </w:t>
          </w:r>
          <w:r w:rsidR="00C20841">
            <w:rPr>
              <w:bCs/>
            </w:rPr>
            <w:t xml:space="preserve">items </w:t>
          </w:r>
          <w:r w:rsidR="00523F5B">
            <w:rPr>
              <w:bCs/>
            </w:rPr>
            <w:t xml:space="preserve">will be required for proposals </w:t>
          </w:r>
          <w:r w:rsidR="00C20841">
            <w:rPr>
              <w:bCs/>
            </w:rPr>
            <w:t xml:space="preserve">that are </w:t>
          </w:r>
          <w:r w:rsidR="00523F5B">
            <w:rPr>
              <w:bCs/>
            </w:rPr>
            <w:t xml:space="preserve">invited to prepare a full submission </w:t>
          </w:r>
          <w:r w:rsidR="0098260A">
            <w:rPr>
              <w:bCs/>
            </w:rPr>
            <w:t>in Stage 2 of the process.</w:t>
          </w:r>
        </w:p>
        <w:p w:rsidR="00C20841" w:rsidRDefault="00114151" w:rsidP="00C20841">
          <w:pPr>
            <w:rPr>
              <w:bCs/>
            </w:rPr>
          </w:pPr>
          <w:r>
            <w:rPr>
              <w:bCs/>
            </w:rPr>
            <w:t xml:space="preserve">However, </w:t>
          </w:r>
          <w:r w:rsidR="00C20841">
            <w:rPr>
              <w:bCs/>
            </w:rPr>
            <w:t xml:space="preserve">the Expression of </w:t>
          </w:r>
          <w:r w:rsidR="002613BA">
            <w:rPr>
              <w:bCs/>
            </w:rPr>
            <w:t>I</w:t>
          </w:r>
          <w:r w:rsidR="00C20841">
            <w:rPr>
              <w:bCs/>
            </w:rPr>
            <w:t>nterest</w:t>
          </w:r>
          <w:r w:rsidR="00D46760">
            <w:rPr>
              <w:bCs/>
            </w:rPr>
            <w:t xml:space="preserve"> must </w:t>
          </w:r>
          <w:r>
            <w:rPr>
              <w:bCs/>
            </w:rPr>
            <w:t>contain</w:t>
          </w:r>
          <w:r w:rsidR="00D46760">
            <w:rPr>
              <w:bCs/>
            </w:rPr>
            <w:t xml:space="preserve"> sufficient information to </w:t>
          </w:r>
          <w:r w:rsidR="00C20841">
            <w:rPr>
              <w:bCs/>
            </w:rPr>
            <w:t>demonstrate the proposed project:</w:t>
          </w:r>
        </w:p>
        <w:p w:rsidR="00C20841" w:rsidRPr="001A6FAC" w:rsidRDefault="00E75DE5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</w:pPr>
          <w:r>
            <w:rPr>
              <w:bCs/>
            </w:rPr>
            <w:t>A</w:t>
          </w:r>
          <w:r w:rsidR="00C20841">
            <w:rPr>
              <w:rFonts w:cs="Arial"/>
            </w:rPr>
            <w:t>ligns</w:t>
          </w:r>
          <w:r w:rsidR="00C20841" w:rsidRPr="00743C5F">
            <w:rPr>
              <w:rFonts w:cs="Arial"/>
            </w:rPr>
            <w:t xml:space="preserve"> with the focus and scope of the </w:t>
          </w:r>
          <w:r w:rsidR="007404FF">
            <w:rPr>
              <w:rFonts w:cs="Arial"/>
            </w:rPr>
            <w:t>GGRD2</w:t>
          </w:r>
          <w:r w:rsidR="00C20841">
            <w:rPr>
              <w:rFonts w:cs="Arial"/>
            </w:rPr>
            <w:t xml:space="preserve"> p</w:t>
          </w:r>
          <w:r w:rsidR="00C20841" w:rsidRPr="00743C5F">
            <w:rPr>
              <w:rFonts w:cs="Arial"/>
            </w:rPr>
            <w:t>rogram</w:t>
          </w:r>
          <w:r>
            <w:rPr>
              <w:rFonts w:cs="Arial"/>
            </w:rPr>
            <w:t>.</w:t>
          </w:r>
        </w:p>
        <w:p w:rsidR="00C20841" w:rsidRPr="00C20841" w:rsidRDefault="00E75DE5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</w:pPr>
          <w:r>
            <w:rPr>
              <w:bCs/>
            </w:rPr>
            <w:t>I</w:t>
          </w:r>
          <w:r w:rsidR="00C20841">
            <w:rPr>
              <w:bCs/>
            </w:rPr>
            <w:t xml:space="preserve">s </w:t>
          </w:r>
          <w:r w:rsidR="00C20841" w:rsidRPr="00743C5F">
            <w:rPr>
              <w:bCs/>
            </w:rPr>
            <w:t>based on sound evidence and information</w:t>
          </w:r>
          <w:r>
            <w:rPr>
              <w:bCs/>
            </w:rPr>
            <w:t>.</w:t>
          </w:r>
        </w:p>
        <w:p w:rsidR="00C20841" w:rsidRPr="00C20841" w:rsidRDefault="00E75DE5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</w:pPr>
          <w:r>
            <w:rPr>
              <w:bCs/>
            </w:rPr>
            <w:t>I</w:t>
          </w:r>
          <w:r w:rsidR="00C20841">
            <w:rPr>
              <w:bCs/>
            </w:rPr>
            <w:t xml:space="preserve">s </w:t>
          </w:r>
          <w:r w:rsidR="00C20841" w:rsidRPr="00743C5F">
            <w:rPr>
              <w:bCs/>
            </w:rPr>
            <w:t>well designed and technically feasible</w:t>
          </w:r>
          <w:r>
            <w:rPr>
              <w:bCs/>
            </w:rPr>
            <w:t>.</w:t>
          </w:r>
        </w:p>
        <w:p w:rsidR="00C20841" w:rsidRPr="0098260A" w:rsidRDefault="00E75DE5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</w:pPr>
          <w:r>
            <w:rPr>
              <w:bCs/>
            </w:rPr>
            <w:t>H</w:t>
          </w:r>
          <w:r w:rsidR="0098260A">
            <w:rPr>
              <w:bCs/>
            </w:rPr>
            <w:t>as proponents with</w:t>
          </w:r>
          <w:r w:rsidR="002C20BF">
            <w:rPr>
              <w:bCs/>
            </w:rPr>
            <w:t xml:space="preserve"> the capacity, </w:t>
          </w:r>
          <w:r w:rsidR="00C20841" w:rsidRPr="00743C5F">
            <w:rPr>
              <w:bCs/>
            </w:rPr>
            <w:t xml:space="preserve">capability </w:t>
          </w:r>
          <w:r w:rsidR="002C20BF">
            <w:rPr>
              <w:bCs/>
            </w:rPr>
            <w:t xml:space="preserve">and commitment </w:t>
          </w:r>
          <w:r w:rsidR="00C20841" w:rsidRPr="00743C5F">
            <w:rPr>
              <w:bCs/>
            </w:rPr>
            <w:t>to undertake the project successfully</w:t>
          </w:r>
          <w:r>
            <w:rPr>
              <w:bCs/>
            </w:rPr>
            <w:t>.</w:t>
          </w:r>
        </w:p>
        <w:p w:rsidR="0098260A" w:rsidRPr="001A6FAC" w:rsidRDefault="00E75DE5" w:rsidP="00BC57ED">
          <w:pPr>
            <w:pStyle w:val="ListParagraph"/>
            <w:numPr>
              <w:ilvl w:val="0"/>
              <w:numId w:val="21"/>
            </w:numPr>
            <w:spacing w:before="120" w:after="120" w:line="240" w:lineRule="auto"/>
            <w:ind w:left="714" w:hanging="357"/>
            <w:contextualSpacing w:val="0"/>
          </w:pPr>
          <w:r>
            <w:t>W</w:t>
          </w:r>
          <w:r w:rsidR="0098260A" w:rsidRPr="00A16BB3">
            <w:t xml:space="preserve">ill contribute to economic </w:t>
          </w:r>
          <w:r w:rsidR="0098260A">
            <w:t xml:space="preserve">development and growth </w:t>
          </w:r>
          <w:r w:rsidR="0098260A" w:rsidRPr="00A16BB3">
            <w:t>in regional WA</w:t>
          </w:r>
          <w:r w:rsidR="0098260A">
            <w:t>.</w:t>
          </w:r>
        </w:p>
        <w:p w:rsidR="00523F5B" w:rsidRPr="00E35765" w:rsidRDefault="00523F5B" w:rsidP="00523F5B">
          <w:pPr>
            <w:rPr>
              <w:color w:val="auto"/>
            </w:rPr>
          </w:pPr>
          <w:r w:rsidRPr="00562FF3">
            <w:rPr>
              <w:color w:val="auto"/>
            </w:rPr>
            <w:t xml:space="preserve">Applications from eligible organisations must be submitted online using the </w:t>
          </w:r>
          <w:r w:rsidR="00880DDC">
            <w:rPr>
              <w:color w:val="auto"/>
            </w:rPr>
            <w:t>Smarty</w:t>
          </w:r>
          <w:r w:rsidR="00623806" w:rsidRPr="00562FF3">
            <w:rPr>
              <w:color w:val="auto"/>
            </w:rPr>
            <w:t>Grants</w:t>
          </w:r>
          <w:r>
            <w:rPr>
              <w:color w:val="auto"/>
            </w:rPr>
            <w:t xml:space="preserve"> application form</w:t>
          </w:r>
          <w:r w:rsidR="00880DDC">
            <w:rPr>
              <w:color w:val="auto"/>
            </w:rPr>
            <w:t xml:space="preserve"> available at</w:t>
          </w:r>
          <w:r w:rsidRPr="00562FF3">
            <w:rPr>
              <w:color w:val="auto"/>
            </w:rPr>
            <w:t xml:space="preserve">:  </w:t>
          </w:r>
          <w:hyperlink r:id="rId9" w:history="1">
            <w:r w:rsidRPr="00562FF3">
              <w:rPr>
                <w:rStyle w:val="Hyperlink"/>
              </w:rPr>
              <w:t>www.agric.smartygrants.com.au</w:t>
            </w:r>
          </w:hyperlink>
          <w:r w:rsidRPr="00C2203E">
            <w:rPr>
              <w:bCs/>
            </w:rPr>
            <w:t xml:space="preserve"> </w:t>
          </w:r>
        </w:p>
        <w:p w:rsidR="00523F5B" w:rsidRDefault="00523F5B" w:rsidP="00523F5B">
          <w:pPr>
            <w:rPr>
              <w:bCs/>
            </w:rPr>
          </w:pPr>
          <w:r w:rsidRPr="00C2203E">
            <w:rPr>
              <w:bCs/>
            </w:rPr>
            <w:t xml:space="preserve">All applicants will be notified by email that their application has been received. </w:t>
          </w:r>
        </w:p>
        <w:p w:rsidR="00523F5B" w:rsidRPr="00C02F61" w:rsidRDefault="00523F5B" w:rsidP="00523F5B">
          <w:pPr>
            <w:rPr>
              <w:color w:val="000000" w:themeColor="text1"/>
            </w:rPr>
          </w:pPr>
          <w:r>
            <w:rPr>
              <w:color w:val="auto"/>
            </w:rPr>
            <w:t xml:space="preserve">To be considered for funding, completed </w:t>
          </w:r>
          <w:r w:rsidR="00C02F61">
            <w:rPr>
              <w:color w:val="auto"/>
            </w:rPr>
            <w:t>Expressions of Interest</w:t>
          </w:r>
          <w:r>
            <w:rPr>
              <w:color w:val="auto"/>
            </w:rPr>
            <w:t xml:space="preserve"> must be submitted </w:t>
          </w:r>
          <w:r w:rsidRPr="00C02F61">
            <w:rPr>
              <w:color w:val="000000" w:themeColor="text1"/>
            </w:rPr>
            <w:t xml:space="preserve">before </w:t>
          </w:r>
          <w:r w:rsidR="00995CA7">
            <w:rPr>
              <w:color w:val="000000" w:themeColor="text1"/>
              <w:u w:val="single"/>
            </w:rPr>
            <w:t>exactly</w:t>
          </w:r>
          <w:r w:rsidR="00995CA7" w:rsidRPr="00C02F61">
            <w:rPr>
              <w:color w:val="000000" w:themeColor="text1"/>
            </w:rPr>
            <w:t xml:space="preserve"> </w:t>
          </w:r>
          <w:r w:rsidRPr="00C02F61">
            <w:rPr>
              <w:color w:val="000000" w:themeColor="text1"/>
            </w:rPr>
            <w:t>12</w:t>
          </w:r>
          <w:r w:rsidR="007010B9" w:rsidRPr="00C02F61">
            <w:rPr>
              <w:color w:val="000000" w:themeColor="text1"/>
            </w:rPr>
            <w:t xml:space="preserve"> </w:t>
          </w:r>
          <w:r w:rsidR="00C02F61" w:rsidRPr="00C02F61">
            <w:rPr>
              <w:color w:val="000000" w:themeColor="text1"/>
            </w:rPr>
            <w:t>noon</w:t>
          </w:r>
          <w:r w:rsidR="00995CA7">
            <w:rPr>
              <w:color w:val="000000" w:themeColor="text1"/>
            </w:rPr>
            <w:t xml:space="preserve"> </w:t>
          </w:r>
          <w:r w:rsidR="00C02F61" w:rsidRPr="00C02F61">
            <w:rPr>
              <w:color w:val="000000" w:themeColor="text1"/>
            </w:rPr>
            <w:t xml:space="preserve">(WST) on </w:t>
          </w:r>
          <w:r w:rsidR="00995CA7">
            <w:rPr>
              <w:rFonts w:cs="Arial"/>
              <w:color w:val="000000" w:themeColor="text1"/>
              <w:szCs w:val="24"/>
            </w:rPr>
            <w:t>Friday</w:t>
          </w:r>
          <w:r w:rsidR="00C02F61" w:rsidRPr="00C02F61">
            <w:rPr>
              <w:rFonts w:cs="Arial"/>
              <w:color w:val="000000" w:themeColor="text1"/>
              <w:szCs w:val="24"/>
            </w:rPr>
            <w:t xml:space="preserve"> </w:t>
          </w:r>
          <w:r w:rsidR="00995CA7">
            <w:rPr>
              <w:rFonts w:cs="Arial"/>
              <w:color w:val="000000" w:themeColor="text1"/>
              <w:szCs w:val="24"/>
            </w:rPr>
            <w:t>10</w:t>
          </w:r>
          <w:r w:rsidR="00C02F61" w:rsidRPr="00C02F61">
            <w:rPr>
              <w:rFonts w:cs="Arial"/>
              <w:color w:val="000000" w:themeColor="text1"/>
              <w:szCs w:val="24"/>
            </w:rPr>
            <w:t xml:space="preserve"> </w:t>
          </w:r>
          <w:r w:rsidR="00995CA7">
            <w:rPr>
              <w:rFonts w:cs="Arial"/>
              <w:color w:val="000000" w:themeColor="text1"/>
              <w:szCs w:val="24"/>
            </w:rPr>
            <w:t>February</w:t>
          </w:r>
          <w:r w:rsidR="00C02F61" w:rsidRPr="00C02F61">
            <w:rPr>
              <w:rFonts w:cs="Arial"/>
              <w:color w:val="000000" w:themeColor="text1"/>
              <w:szCs w:val="24"/>
            </w:rPr>
            <w:t xml:space="preserve"> 2017</w:t>
          </w:r>
          <w:r w:rsidRPr="00C02F61">
            <w:rPr>
              <w:color w:val="000000" w:themeColor="text1"/>
            </w:rPr>
            <w:t>.</w:t>
          </w:r>
        </w:p>
        <w:p w:rsidR="00BC4EB4" w:rsidRPr="00BE0BE8" w:rsidRDefault="00BC4EB4" w:rsidP="00523F5B">
          <w:pPr>
            <w:rPr>
              <w:color w:val="auto"/>
            </w:rPr>
          </w:pPr>
        </w:p>
        <w:p w:rsidR="00226E34" w:rsidRPr="007F6306" w:rsidRDefault="00226E34" w:rsidP="00226E34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Assessment an</w:t>
          </w:r>
          <w:r w:rsidR="00523F5B" w:rsidRPr="007F6306">
            <w:rPr>
              <w:color w:val="007D57"/>
            </w:rPr>
            <w:t>d selection</w:t>
          </w:r>
          <w:r w:rsidRPr="007F6306">
            <w:rPr>
              <w:color w:val="007D57"/>
            </w:rPr>
            <w:t xml:space="preserve"> </w:t>
          </w:r>
        </w:p>
        <w:p w:rsidR="00523F5B" w:rsidRDefault="00523F5B" w:rsidP="00523F5B">
          <w:pPr>
            <w:rPr>
              <w:color w:val="auto"/>
            </w:rPr>
          </w:pPr>
          <w:r w:rsidRPr="00F05053">
            <w:rPr>
              <w:color w:val="auto"/>
            </w:rPr>
            <w:t>Successful projects will be selected through a competitive merit-based process</w:t>
          </w:r>
          <w:r>
            <w:rPr>
              <w:color w:val="auto"/>
            </w:rPr>
            <w:t>.</w:t>
          </w:r>
        </w:p>
        <w:p w:rsidR="00A96AE5" w:rsidRPr="00A96AE5" w:rsidRDefault="00A96AE5" w:rsidP="00A96AE5">
          <w:r w:rsidRPr="00A96AE5">
            <w:t>Based on previous grant-awarding rounds conducted by DAFWA’s Royalties for Regions projects</w:t>
          </w:r>
          <w:r w:rsidR="00910747">
            <w:t>,</w:t>
          </w:r>
          <w:r w:rsidRPr="00A96AE5">
            <w:t xml:space="preserve"> it is expected that the </w:t>
          </w:r>
          <w:r w:rsidR="007404FF">
            <w:t>GGRD2</w:t>
          </w:r>
          <w:r w:rsidRPr="00A96AE5">
            <w:t xml:space="preserve"> program call will be </w:t>
          </w:r>
          <w:r w:rsidR="00995CA7">
            <w:t>three to four</w:t>
          </w:r>
          <w:r w:rsidR="00995CA7" w:rsidRPr="00A96AE5">
            <w:t xml:space="preserve"> </w:t>
          </w:r>
          <w:r w:rsidR="00995CA7">
            <w:t xml:space="preserve">times </w:t>
          </w:r>
          <w:r w:rsidRPr="00A96AE5">
            <w:t xml:space="preserve">over-subscribed </w:t>
          </w:r>
          <w:r w:rsidR="00910747">
            <w:t>and progress</w:t>
          </w:r>
          <w:r w:rsidRPr="00A96AE5">
            <w:t xml:space="preserve"> to the full submission stage will be highly competitive.</w:t>
          </w:r>
        </w:p>
        <w:p w:rsidR="00947DCB" w:rsidRPr="00D33380" w:rsidRDefault="00947DCB" w:rsidP="00947DCB">
          <w:pPr>
            <w:rPr>
              <w:bCs/>
            </w:rPr>
          </w:pPr>
          <w:r w:rsidRPr="00D33380">
            <w:rPr>
              <w:bCs/>
            </w:rPr>
            <w:t xml:space="preserve">A two-stage </w:t>
          </w:r>
          <w:r w:rsidR="00226E34">
            <w:rPr>
              <w:bCs/>
            </w:rPr>
            <w:t xml:space="preserve">assessment and </w:t>
          </w:r>
          <w:r w:rsidRPr="00D33380">
            <w:rPr>
              <w:bCs/>
            </w:rPr>
            <w:t>selection process will be used:</w:t>
          </w:r>
        </w:p>
        <w:p w:rsidR="00947DCB" w:rsidRPr="00D33380" w:rsidRDefault="00947DCB" w:rsidP="00947DCB">
          <w:pPr>
            <w:pStyle w:val="ListParagraph"/>
            <w:spacing w:before="0" w:after="160"/>
            <w:ind w:left="714" w:hanging="357"/>
            <w:contextualSpacing w:val="0"/>
            <w:rPr>
              <w:bCs/>
            </w:rPr>
          </w:pPr>
          <w:r w:rsidRPr="00090A41">
            <w:rPr>
              <w:b/>
              <w:bCs/>
            </w:rPr>
            <w:t>Stage 1 Expression of Interest</w:t>
          </w:r>
          <w:r w:rsidRPr="00D33380">
            <w:rPr>
              <w:bCs/>
            </w:rPr>
            <w:t xml:space="preserve"> – </w:t>
          </w:r>
          <w:r w:rsidR="009765D2">
            <w:rPr>
              <w:rFonts w:cs="Arial"/>
              <w:bCs/>
            </w:rPr>
            <w:t>an</w:t>
          </w:r>
          <w:r w:rsidR="009765D2" w:rsidRPr="00D33380">
            <w:rPr>
              <w:rFonts w:cs="Arial"/>
              <w:bCs/>
            </w:rPr>
            <w:t xml:space="preserve"> </w:t>
          </w:r>
          <w:r w:rsidRPr="00D33380">
            <w:rPr>
              <w:rFonts w:cs="Arial"/>
              <w:bCs/>
            </w:rPr>
            <w:t xml:space="preserve">expert selection panel will assess </w:t>
          </w:r>
          <w:r w:rsidR="000B2FF6">
            <w:rPr>
              <w:rFonts w:cs="Arial"/>
              <w:bCs/>
            </w:rPr>
            <w:t xml:space="preserve">the </w:t>
          </w:r>
          <w:r w:rsidRPr="00D33380">
            <w:rPr>
              <w:rFonts w:cs="Arial"/>
              <w:bCs/>
            </w:rPr>
            <w:t>application</w:t>
          </w:r>
          <w:r w:rsidR="000B2FF6">
            <w:rPr>
              <w:rFonts w:cs="Arial"/>
              <w:bCs/>
            </w:rPr>
            <w:t>s</w:t>
          </w:r>
          <w:r w:rsidRPr="00D33380">
            <w:rPr>
              <w:rFonts w:cs="Arial"/>
              <w:bCs/>
            </w:rPr>
            <w:t xml:space="preserve"> and recommend a shortlist of projects to progress to Stage 2</w:t>
          </w:r>
          <w:r w:rsidRPr="00D33380">
            <w:rPr>
              <w:b/>
              <w:bCs/>
            </w:rPr>
            <w:t>.</w:t>
          </w:r>
        </w:p>
        <w:p w:rsidR="00947DCB" w:rsidRPr="00D33380" w:rsidRDefault="00947DCB" w:rsidP="00947DCB">
          <w:pPr>
            <w:pStyle w:val="ListParagraph"/>
            <w:spacing w:before="0" w:after="160"/>
            <w:ind w:left="714" w:hanging="357"/>
            <w:contextualSpacing w:val="0"/>
            <w:rPr>
              <w:bCs/>
            </w:rPr>
          </w:pPr>
          <w:r w:rsidRPr="00090A41">
            <w:rPr>
              <w:b/>
              <w:bCs/>
            </w:rPr>
            <w:t>Stage 2 Full Project Proposal</w:t>
          </w:r>
          <w:r w:rsidRPr="00D33380">
            <w:rPr>
              <w:bCs/>
            </w:rPr>
            <w:t xml:space="preserve"> – </w:t>
          </w:r>
          <w:r w:rsidRPr="00D33380">
            <w:rPr>
              <w:rFonts w:cs="Arial"/>
              <w:bCs/>
            </w:rPr>
            <w:t>shortlisted applicants will be invited to submit a detailed proposal for assessment by the expert selection panel</w:t>
          </w:r>
          <w:r w:rsidRPr="00D33380">
            <w:rPr>
              <w:bCs/>
            </w:rPr>
            <w:t>.</w:t>
          </w:r>
        </w:p>
        <w:p w:rsidR="001A6FAC" w:rsidRDefault="008F3F9C" w:rsidP="00C2203E">
          <w:pPr>
            <w:rPr>
              <w:color w:val="auto"/>
            </w:rPr>
          </w:pPr>
          <w:r>
            <w:rPr>
              <w:color w:val="auto"/>
            </w:rPr>
            <w:t xml:space="preserve">DAFWA </w:t>
          </w:r>
          <w:r w:rsidR="008875EC">
            <w:rPr>
              <w:color w:val="auto"/>
            </w:rPr>
            <w:t>will appoint</w:t>
          </w:r>
          <w:r w:rsidR="00B46717">
            <w:rPr>
              <w:color w:val="auto"/>
            </w:rPr>
            <w:t xml:space="preserve"> expert</w:t>
          </w:r>
          <w:r w:rsidRPr="00370013">
            <w:rPr>
              <w:color w:val="auto"/>
            </w:rPr>
            <w:t xml:space="preserve"> </w:t>
          </w:r>
          <w:r w:rsidR="008A1251">
            <w:rPr>
              <w:color w:val="auto"/>
            </w:rPr>
            <w:t xml:space="preserve">selection </w:t>
          </w:r>
          <w:r w:rsidRPr="00370013">
            <w:rPr>
              <w:color w:val="auto"/>
            </w:rPr>
            <w:t>panel</w:t>
          </w:r>
          <w:r w:rsidR="00062F6D">
            <w:rPr>
              <w:color w:val="auto"/>
            </w:rPr>
            <w:t>(</w:t>
          </w:r>
          <w:r w:rsidR="008875EC">
            <w:rPr>
              <w:color w:val="auto"/>
            </w:rPr>
            <w:t>s</w:t>
          </w:r>
          <w:r w:rsidR="00062F6D">
            <w:rPr>
              <w:color w:val="auto"/>
            </w:rPr>
            <w:t>)</w:t>
          </w:r>
          <w:r w:rsidR="008875EC">
            <w:rPr>
              <w:color w:val="auto"/>
            </w:rPr>
            <w:t xml:space="preserve"> </w:t>
          </w:r>
          <w:r w:rsidRPr="00370013">
            <w:rPr>
              <w:color w:val="auto"/>
            </w:rPr>
            <w:t xml:space="preserve">to provide </w:t>
          </w:r>
          <w:r w:rsidR="006454A9">
            <w:rPr>
              <w:color w:val="auto"/>
            </w:rPr>
            <w:t xml:space="preserve">independent </w:t>
          </w:r>
          <w:r w:rsidRPr="00370013">
            <w:rPr>
              <w:color w:val="auto"/>
            </w:rPr>
            <w:t>industry, technical and</w:t>
          </w:r>
          <w:r>
            <w:rPr>
              <w:color w:val="auto"/>
            </w:rPr>
            <w:t xml:space="preserve"> </w:t>
          </w:r>
          <w:r w:rsidRPr="00370013">
            <w:rPr>
              <w:color w:val="auto"/>
            </w:rPr>
            <w:t xml:space="preserve">scientific expertise in </w:t>
          </w:r>
          <w:r>
            <w:rPr>
              <w:color w:val="auto"/>
            </w:rPr>
            <w:t>the assessment of applications and mak</w:t>
          </w:r>
          <w:r w:rsidR="00686A08">
            <w:rPr>
              <w:color w:val="auto"/>
            </w:rPr>
            <w:t xml:space="preserve">e </w:t>
          </w:r>
          <w:r w:rsidR="00686A08" w:rsidRPr="00D33380">
            <w:rPr>
              <w:color w:val="auto"/>
            </w:rPr>
            <w:t xml:space="preserve">recommendations to the </w:t>
          </w:r>
          <w:r w:rsidR="006F589C">
            <w:t xml:space="preserve">Agricultural Sciences </w:t>
          </w:r>
          <w:r w:rsidR="00686A08" w:rsidRPr="00D33380">
            <w:t>R&amp;D Fund</w:t>
          </w:r>
          <w:r w:rsidRPr="00D33380">
            <w:rPr>
              <w:color w:val="auto"/>
            </w:rPr>
            <w:t xml:space="preserve"> Steering Committee.</w:t>
          </w:r>
          <w:r w:rsidR="002F0083">
            <w:rPr>
              <w:color w:val="auto"/>
            </w:rPr>
            <w:t xml:space="preserve"> </w:t>
          </w:r>
        </w:p>
        <w:p w:rsidR="00B46717" w:rsidRPr="00D33380" w:rsidRDefault="002F0083" w:rsidP="00C2203E">
          <w:pPr>
            <w:rPr>
              <w:color w:val="auto"/>
            </w:rPr>
          </w:pPr>
          <w:r>
            <w:rPr>
              <w:color w:val="auto"/>
            </w:rPr>
            <w:t>Conflict of interest issues will be assessed and managed for eac</w:t>
          </w:r>
          <w:r w:rsidR="001A6FAC">
            <w:rPr>
              <w:color w:val="auto"/>
            </w:rPr>
            <w:t>h project and each panel member</w:t>
          </w:r>
          <w:r w:rsidR="00062F6D">
            <w:rPr>
              <w:color w:val="auto"/>
            </w:rPr>
            <w:t>.  The</w:t>
          </w:r>
          <w:r w:rsidR="001A6FAC">
            <w:rPr>
              <w:color w:val="auto"/>
            </w:rPr>
            <w:t xml:space="preserve"> information provided by applicants will be treated confidentially. </w:t>
          </w:r>
        </w:p>
        <w:p w:rsidR="00C2203E" w:rsidRPr="00C2203E" w:rsidRDefault="00C2203E" w:rsidP="00C2203E">
          <w:pPr>
            <w:rPr>
              <w:bCs/>
            </w:rPr>
          </w:pPr>
          <w:r w:rsidRPr="00C2203E">
            <w:rPr>
              <w:bCs/>
            </w:rPr>
            <w:t xml:space="preserve">Projects may be </w:t>
          </w:r>
          <w:r w:rsidR="00181AD5" w:rsidRPr="00C2203E">
            <w:rPr>
              <w:bCs/>
            </w:rPr>
            <w:t xml:space="preserve">funded </w:t>
          </w:r>
          <w:r w:rsidR="00181AD5">
            <w:rPr>
              <w:bCs/>
            </w:rPr>
            <w:t xml:space="preserve">wholly or </w:t>
          </w:r>
          <w:r w:rsidR="00E17C71">
            <w:rPr>
              <w:bCs/>
            </w:rPr>
            <w:t>partially</w:t>
          </w:r>
          <w:r w:rsidR="00181AD5">
            <w:rPr>
              <w:bCs/>
            </w:rPr>
            <w:t>,</w:t>
          </w:r>
          <w:r w:rsidRPr="00C2203E">
            <w:rPr>
              <w:bCs/>
            </w:rPr>
            <w:t xml:space="preserve"> and may have conditions or recommendations attached </w:t>
          </w:r>
          <w:r w:rsidR="006454A9">
            <w:rPr>
              <w:bCs/>
            </w:rPr>
            <w:t>that may</w:t>
          </w:r>
          <w:r w:rsidR="00D45165" w:rsidRPr="00C2203E">
            <w:rPr>
              <w:bCs/>
            </w:rPr>
            <w:t xml:space="preserve"> </w:t>
          </w:r>
          <w:r w:rsidRPr="00C2203E">
            <w:rPr>
              <w:bCs/>
            </w:rPr>
            <w:t xml:space="preserve">need to be addressed before funding is </w:t>
          </w:r>
          <w:r w:rsidR="006454A9">
            <w:rPr>
              <w:bCs/>
            </w:rPr>
            <w:t>released</w:t>
          </w:r>
          <w:r w:rsidRPr="00C2203E">
            <w:rPr>
              <w:bCs/>
            </w:rPr>
            <w:t>.</w:t>
          </w:r>
        </w:p>
        <w:p w:rsidR="008F3F9C" w:rsidRDefault="000B2FF6" w:rsidP="000377EC">
          <w:pPr>
            <w:rPr>
              <w:bCs/>
            </w:rPr>
          </w:pPr>
          <w:r>
            <w:rPr>
              <w:bCs/>
            </w:rPr>
            <w:lastRenderedPageBreak/>
            <w:t xml:space="preserve">The DAFWA </w:t>
          </w:r>
          <w:r w:rsidR="008B7BAC">
            <w:rPr>
              <w:bCs/>
            </w:rPr>
            <w:t xml:space="preserve">Project </w:t>
          </w:r>
          <w:r>
            <w:rPr>
              <w:bCs/>
            </w:rPr>
            <w:t>Sponsor of the Agricultural Sciences R&amp;D Fund project is the final decision maker.  All d</w:t>
          </w:r>
          <w:r w:rsidR="004F17A8" w:rsidRPr="00C2203E">
            <w:rPr>
              <w:bCs/>
            </w:rPr>
            <w:t xml:space="preserve">ecisions on funding are final. </w:t>
          </w:r>
          <w:r w:rsidR="003C2E39">
            <w:rPr>
              <w:bCs/>
            </w:rPr>
            <w:t xml:space="preserve"> </w:t>
          </w:r>
          <w:r w:rsidR="004F17A8">
            <w:rPr>
              <w:bCs/>
            </w:rPr>
            <w:t>All applicants will be notified in writing of the outcome of their application, and provided with feedback</w:t>
          </w:r>
          <w:r w:rsidR="001B0166">
            <w:rPr>
              <w:bCs/>
            </w:rPr>
            <w:t xml:space="preserve"> on request</w:t>
          </w:r>
          <w:r w:rsidR="004F17A8">
            <w:rPr>
              <w:bCs/>
            </w:rPr>
            <w:t>.</w:t>
          </w:r>
        </w:p>
        <w:p w:rsidR="00E75DE5" w:rsidRDefault="00E75DE5" w:rsidP="000377EC">
          <w:pPr>
            <w:rPr>
              <w:bCs/>
            </w:rPr>
          </w:pPr>
        </w:p>
        <w:p w:rsidR="00224423" w:rsidRPr="007F6306" w:rsidRDefault="00224423" w:rsidP="00224423">
          <w:pPr>
            <w:pStyle w:val="Heading2"/>
            <w:rPr>
              <w:color w:val="007D57"/>
            </w:rPr>
          </w:pPr>
          <w:r w:rsidRPr="007F6306">
            <w:rPr>
              <w:color w:val="007D57"/>
            </w:rPr>
            <w:t>Further information</w:t>
          </w:r>
        </w:p>
        <w:p w:rsidR="00C2203E" w:rsidRDefault="00C2203E" w:rsidP="00C2203E">
          <w:pPr>
            <w:rPr>
              <w:rFonts w:cs="Arial"/>
              <w:bCs/>
            </w:rPr>
          </w:pPr>
          <w:r>
            <w:rPr>
              <w:rFonts w:cs="Arial"/>
            </w:rPr>
            <w:t xml:space="preserve">Additional </w:t>
          </w:r>
          <w:r w:rsidR="009B0706">
            <w:rPr>
              <w:rFonts w:cs="Arial"/>
            </w:rPr>
            <w:t>information</w:t>
          </w:r>
          <w:r>
            <w:rPr>
              <w:rFonts w:cs="Arial"/>
            </w:rPr>
            <w:t xml:space="preserve"> can be found on the </w:t>
          </w:r>
          <w:r w:rsidRPr="00BC1168">
            <w:rPr>
              <w:rFonts w:cs="Arial"/>
            </w:rPr>
            <w:t>Department of Agriculture and Food Western Australia</w:t>
          </w:r>
          <w:r>
            <w:rPr>
              <w:rFonts w:cs="Arial"/>
            </w:rPr>
            <w:t xml:space="preserve"> website at</w:t>
          </w:r>
          <w:r w:rsidR="0007631D">
            <w:rPr>
              <w:rFonts w:cs="Arial"/>
            </w:rPr>
            <w:t xml:space="preserve"> </w:t>
          </w:r>
          <w:hyperlink r:id="rId10" w:history="1">
            <w:r w:rsidR="0007631D" w:rsidRPr="0007631D">
              <w:rPr>
                <w:rStyle w:val="Hyperlink"/>
                <w:rFonts w:cs="Arial"/>
              </w:rPr>
              <w:t>agric.wa.gov.au/royalties-regions</w:t>
            </w:r>
          </w:hyperlink>
          <w:r>
            <w:rPr>
              <w:rFonts w:cs="Arial"/>
              <w:bCs/>
            </w:rPr>
            <w:t xml:space="preserve"> </w:t>
          </w:r>
        </w:p>
        <w:p w:rsidR="00D32DA7" w:rsidRDefault="00C2203E" w:rsidP="00880DDC">
          <w:pPr>
            <w:jc w:val="center"/>
          </w:pPr>
          <w:r>
            <w:rPr>
              <w:rFonts w:cs="Arial"/>
            </w:rPr>
            <w:t xml:space="preserve">Alternatively, contact </w:t>
          </w:r>
          <w:r w:rsidR="0087625B">
            <w:rPr>
              <w:rFonts w:cs="Arial"/>
              <w:b/>
            </w:rPr>
            <w:t>Andrew Duff</w:t>
          </w:r>
          <w:r w:rsidR="00A0635C">
            <w:rPr>
              <w:rFonts w:cs="Arial"/>
            </w:rPr>
            <w:t>, DAFWA</w:t>
          </w:r>
          <w:r>
            <w:rPr>
              <w:rFonts w:cs="Arial"/>
            </w:rPr>
            <w:br/>
          </w:r>
          <w:r w:rsidRPr="00BC10FB">
            <w:rPr>
              <w:rFonts w:cs="Arial"/>
            </w:rPr>
            <w:t>E</w:t>
          </w:r>
          <w:r w:rsidR="00A0635C">
            <w:rPr>
              <w:rFonts w:cs="Arial"/>
            </w:rPr>
            <w:t>mail</w:t>
          </w:r>
          <w:r w:rsidRPr="00BC10FB">
            <w:rPr>
              <w:rFonts w:cs="Arial"/>
            </w:rPr>
            <w:t xml:space="preserve">: </w:t>
          </w:r>
          <w:hyperlink r:id="rId11" w:history="1">
            <w:r w:rsidR="0087625B" w:rsidRPr="003A6B3F">
              <w:rPr>
                <w:rStyle w:val="Hyperlink"/>
                <w:rFonts w:cs="Arial"/>
              </w:rPr>
              <w:t>andrew.duff@agric.wa.gov.au</w:t>
            </w:r>
          </w:hyperlink>
          <w:r>
            <w:rPr>
              <w:rFonts w:cs="Arial"/>
            </w:rPr>
            <w:br/>
            <w:t>T</w:t>
          </w:r>
          <w:r w:rsidR="00A0635C">
            <w:rPr>
              <w:rFonts w:cs="Arial"/>
            </w:rPr>
            <w:t>elephone</w:t>
          </w:r>
          <w:r>
            <w:rPr>
              <w:rFonts w:cs="Arial"/>
            </w:rPr>
            <w:t xml:space="preserve">: </w:t>
          </w:r>
          <w:r w:rsidR="00A0635C">
            <w:rPr>
              <w:rFonts w:cs="Arial"/>
            </w:rPr>
            <w:t>+61 (</w:t>
          </w:r>
          <w:r>
            <w:rPr>
              <w:rFonts w:cs="Arial"/>
            </w:rPr>
            <w:t>0</w:t>
          </w:r>
          <w:r w:rsidR="00A0635C">
            <w:rPr>
              <w:rFonts w:cs="Arial"/>
            </w:rPr>
            <w:t>)</w:t>
          </w:r>
          <w:r>
            <w:rPr>
              <w:rFonts w:cs="Arial"/>
            </w:rPr>
            <w:t xml:space="preserve">8 9368 </w:t>
          </w:r>
          <w:bookmarkStart w:id="1" w:name="plainenglish"/>
          <w:bookmarkEnd w:id="1"/>
          <w:r w:rsidR="008A1251">
            <w:rPr>
              <w:rFonts w:cs="Arial"/>
            </w:rPr>
            <w:t>3</w:t>
          </w:r>
          <w:r w:rsidR="00926A48">
            <w:rPr>
              <w:rFonts w:cs="Arial"/>
            </w:rPr>
            <w:t>677</w:t>
          </w:r>
        </w:p>
      </w:sdtContent>
    </w:sdt>
    <w:p w:rsidR="00880DDC" w:rsidRDefault="00880DDC" w:rsidP="00880DDC">
      <w:pPr>
        <w:spacing w:after="0"/>
        <w:jc w:val="center"/>
        <w:rPr>
          <w:rFonts w:cs="Arial"/>
        </w:rPr>
      </w:pPr>
      <w:r w:rsidRPr="003226DC">
        <w:rPr>
          <w:rFonts w:cs="Arial"/>
          <w:b/>
        </w:rPr>
        <w:t>Mark Holland</w:t>
      </w:r>
      <w:r>
        <w:rPr>
          <w:rFonts w:cs="Arial"/>
        </w:rPr>
        <w:t>, DAFWA:</w:t>
      </w:r>
    </w:p>
    <w:p w:rsidR="00880DDC" w:rsidRDefault="00880DDC" w:rsidP="00880DDC">
      <w:pPr>
        <w:jc w:val="center"/>
        <w:rPr>
          <w:rFonts w:eastAsiaTheme="majorEastAsia" w:cstheme="majorBidi"/>
          <w:b/>
          <w:color w:val="007D57"/>
          <w:sz w:val="32"/>
          <w:szCs w:val="32"/>
        </w:rPr>
      </w:pPr>
      <w:r w:rsidRPr="00BC10FB">
        <w:rPr>
          <w:rFonts w:cs="Arial"/>
        </w:rPr>
        <w:t>E</w:t>
      </w:r>
      <w:r>
        <w:rPr>
          <w:rFonts w:cs="Arial"/>
        </w:rPr>
        <w:t>mail</w:t>
      </w:r>
      <w:r w:rsidRPr="00BC10FB">
        <w:rPr>
          <w:rFonts w:cs="Arial"/>
        </w:rPr>
        <w:t xml:space="preserve">: </w:t>
      </w:r>
      <w:hyperlink r:id="rId12" w:history="1">
        <w:r w:rsidRPr="003226DC">
          <w:rPr>
            <w:rStyle w:val="Hyperlink"/>
            <w:rFonts w:cs="Arial"/>
          </w:rPr>
          <w:t>mbholland@agric.wa.gov.au</w:t>
        </w:r>
      </w:hyperlink>
      <w:r>
        <w:rPr>
          <w:rFonts w:cs="Arial"/>
        </w:rPr>
        <w:br/>
        <w:t>Telephone: +61 (0)8 9368 3468</w:t>
      </w:r>
    </w:p>
    <w:p w:rsidR="00880DDC" w:rsidRDefault="00880DDC" w:rsidP="001F0BB3"/>
    <w:sectPr w:rsidR="00880DDC" w:rsidSect="00F52EE8">
      <w:footerReference w:type="default" r:id="rId13"/>
      <w:headerReference w:type="first" r:id="rId14"/>
      <w:footerReference w:type="first" r:id="rId15"/>
      <w:pgSz w:w="11906" w:h="16838"/>
      <w:pgMar w:top="1134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B5" w:rsidRDefault="00306AB5" w:rsidP="00337B8D">
      <w:pPr>
        <w:spacing w:after="0" w:line="240" w:lineRule="auto"/>
      </w:pPr>
      <w:r>
        <w:separator/>
      </w:r>
    </w:p>
  </w:endnote>
  <w:endnote w:type="continuationSeparator" w:id="0">
    <w:p w:rsidR="00306AB5" w:rsidRDefault="00306AB5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3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CD8" w:rsidRDefault="00B81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5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1CD8" w:rsidRDefault="00B81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A4" w:rsidRDefault="00006DA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037E9E" wp14:editId="6E1D499A">
          <wp:simplePos x="0" y="0"/>
          <wp:positionH relativeFrom="column">
            <wp:posOffset>5062220</wp:posOffset>
          </wp:positionH>
          <wp:positionV relativeFrom="paragraph">
            <wp:posOffset>-19050</wp:posOffset>
          </wp:positionV>
          <wp:extent cx="1295400" cy="762000"/>
          <wp:effectExtent l="0" t="0" r="0" b="0"/>
          <wp:wrapThrough wrapText="bothSides">
            <wp:wrapPolygon edited="0">
              <wp:start x="0" y="0"/>
              <wp:lineTo x="0" y="21060"/>
              <wp:lineTo x="21282" y="21060"/>
              <wp:lineTo x="21282" y="0"/>
              <wp:lineTo x="0" y="0"/>
            </wp:wrapPolygon>
          </wp:wrapThrough>
          <wp:docPr id="3" name="Picture 3" descr="C:\Users\vtodd\AppData\Local\Microsoft\Windows\Temporary Internet Files\Content.Word\R4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todd\AppData\Local\Microsoft\Windows\Temporary Internet Files\Content.Word\R4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1CD8" w:rsidRDefault="00B81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B5" w:rsidRDefault="00306AB5" w:rsidP="00337B8D">
      <w:pPr>
        <w:spacing w:after="0" w:line="240" w:lineRule="auto"/>
      </w:pPr>
      <w:r>
        <w:separator/>
      </w:r>
    </w:p>
  </w:footnote>
  <w:footnote w:type="continuationSeparator" w:id="0">
    <w:p w:rsidR="00306AB5" w:rsidRDefault="00306AB5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A4" w:rsidRDefault="00006DA4">
    <w:pPr>
      <w:pStyle w:val="Header"/>
    </w:pPr>
    <w:r>
      <w:rPr>
        <w:noProof/>
        <w:lang w:eastAsia="en-AU"/>
      </w:rPr>
      <w:drawing>
        <wp:inline distT="0" distB="0" distL="0" distR="0" wp14:anchorId="69B38958" wp14:editId="27A8D268">
          <wp:extent cx="3124200" cy="660400"/>
          <wp:effectExtent l="0" t="0" r="0" b="6350"/>
          <wp:docPr id="1" name="Picture 1" descr="Department of Agriculture and Food, Western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Agriculture and Food, Western Austral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DA4" w:rsidRDefault="00006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5EE"/>
    <w:multiLevelType w:val="hybridMultilevel"/>
    <w:tmpl w:val="C72C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95618"/>
    <w:multiLevelType w:val="hybridMultilevel"/>
    <w:tmpl w:val="3EF2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6C7A"/>
    <w:multiLevelType w:val="hybridMultilevel"/>
    <w:tmpl w:val="A184C7E8"/>
    <w:lvl w:ilvl="0" w:tplc="97B47DA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566F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3A295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DA40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C4B5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AC63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E2F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767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7CB6AD7"/>
    <w:multiLevelType w:val="hybridMultilevel"/>
    <w:tmpl w:val="271E2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62DA1"/>
    <w:multiLevelType w:val="hybridMultilevel"/>
    <w:tmpl w:val="498E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5640"/>
    <w:multiLevelType w:val="hybridMultilevel"/>
    <w:tmpl w:val="38125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BA8"/>
    <w:multiLevelType w:val="hybridMultilevel"/>
    <w:tmpl w:val="0F1E2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66FAC"/>
    <w:multiLevelType w:val="hybridMultilevel"/>
    <w:tmpl w:val="90FA6704"/>
    <w:lvl w:ilvl="0" w:tplc="092E729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664"/>
    <w:multiLevelType w:val="hybridMultilevel"/>
    <w:tmpl w:val="624C6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C32CF"/>
    <w:multiLevelType w:val="hybridMultilevel"/>
    <w:tmpl w:val="C96CD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0C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8B9E9ED6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15CFE"/>
    <w:multiLevelType w:val="hybridMultilevel"/>
    <w:tmpl w:val="91D07A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14425"/>
    <w:multiLevelType w:val="hybridMultilevel"/>
    <w:tmpl w:val="0F1E2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3BCD"/>
    <w:multiLevelType w:val="hybridMultilevel"/>
    <w:tmpl w:val="B894A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17448"/>
    <w:multiLevelType w:val="hybridMultilevel"/>
    <w:tmpl w:val="84F8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A4188"/>
    <w:multiLevelType w:val="hybridMultilevel"/>
    <w:tmpl w:val="9BE662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C5C05"/>
    <w:multiLevelType w:val="hybridMultilevel"/>
    <w:tmpl w:val="68445800"/>
    <w:lvl w:ilvl="0" w:tplc="97B47DA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566F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C0C5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A295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DA40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C4B5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AC63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E2F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767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81F736F"/>
    <w:multiLevelType w:val="hybridMultilevel"/>
    <w:tmpl w:val="78B8C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00162"/>
    <w:multiLevelType w:val="hybridMultilevel"/>
    <w:tmpl w:val="6BA4F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23D24"/>
    <w:multiLevelType w:val="hybridMultilevel"/>
    <w:tmpl w:val="9B70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11D45"/>
    <w:multiLevelType w:val="hybridMultilevel"/>
    <w:tmpl w:val="4B241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62AFB"/>
    <w:multiLevelType w:val="hybridMultilevel"/>
    <w:tmpl w:val="4A0A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D131B"/>
    <w:multiLevelType w:val="hybridMultilevel"/>
    <w:tmpl w:val="3E467E4E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>
    <w:nsid w:val="72FD12FC"/>
    <w:multiLevelType w:val="hybridMultilevel"/>
    <w:tmpl w:val="18DCF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14734F"/>
    <w:multiLevelType w:val="hybridMultilevel"/>
    <w:tmpl w:val="C804F898"/>
    <w:lvl w:ilvl="0" w:tplc="092E729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23149B"/>
    <w:multiLevelType w:val="hybridMultilevel"/>
    <w:tmpl w:val="4A96C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3533B"/>
    <w:multiLevelType w:val="hybridMultilevel"/>
    <w:tmpl w:val="6DFAA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8"/>
  </w:num>
  <w:num w:numId="5">
    <w:abstractNumId w:val="27"/>
  </w:num>
  <w:num w:numId="6">
    <w:abstractNumId w:val="30"/>
  </w:num>
  <w:num w:numId="7">
    <w:abstractNumId w:val="2"/>
  </w:num>
  <w:num w:numId="8">
    <w:abstractNumId w:val="10"/>
  </w:num>
  <w:num w:numId="9">
    <w:abstractNumId w:val="12"/>
  </w:num>
  <w:num w:numId="10">
    <w:abstractNumId w:val="16"/>
  </w:num>
  <w:num w:numId="11">
    <w:abstractNumId w:val="4"/>
  </w:num>
  <w:num w:numId="12">
    <w:abstractNumId w:val="25"/>
  </w:num>
  <w:num w:numId="13">
    <w:abstractNumId w:val="11"/>
  </w:num>
  <w:num w:numId="14">
    <w:abstractNumId w:val="18"/>
  </w:num>
  <w:num w:numId="15">
    <w:abstractNumId w:val="17"/>
  </w:num>
  <w:num w:numId="16">
    <w:abstractNumId w:val="3"/>
  </w:num>
  <w:num w:numId="17">
    <w:abstractNumId w:val="20"/>
  </w:num>
  <w:num w:numId="18">
    <w:abstractNumId w:val="1"/>
  </w:num>
  <w:num w:numId="19">
    <w:abstractNumId w:val="1"/>
  </w:num>
  <w:num w:numId="20">
    <w:abstractNumId w:val="5"/>
  </w:num>
  <w:num w:numId="21">
    <w:abstractNumId w:val="23"/>
  </w:num>
  <w:num w:numId="22">
    <w:abstractNumId w:val="21"/>
  </w:num>
  <w:num w:numId="23">
    <w:abstractNumId w:val="15"/>
  </w:num>
  <w:num w:numId="24">
    <w:abstractNumId w:val="0"/>
  </w:num>
  <w:num w:numId="25">
    <w:abstractNumId w:val="26"/>
  </w:num>
  <w:num w:numId="26">
    <w:abstractNumId w:val="19"/>
  </w:num>
  <w:num w:numId="27">
    <w:abstractNumId w:val="7"/>
  </w:num>
  <w:num w:numId="28">
    <w:abstractNumId w:val="14"/>
  </w:num>
  <w:num w:numId="29">
    <w:abstractNumId w:val="29"/>
  </w:num>
  <w:num w:numId="30">
    <w:abstractNumId w:val="6"/>
  </w:num>
  <w:num w:numId="31">
    <w:abstractNumId w:val="24"/>
  </w:num>
  <w:num w:numId="32">
    <w:abstractNumId w:val="9"/>
  </w:num>
  <w:num w:numId="33">
    <w:abstractNumId w:val="28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16CB597-7630-4229-9DFA-04D57B639040}"/>
    <w:docVar w:name="dgnword-drafile" w:val="C:\Users\jcrisp\AppData\Local\Temp\draFE9C.tmp"/>
    <w:docVar w:name="dgnword-eventsink" w:val="97470792"/>
    <w:docVar w:name="dgnword-lastRevisionsView" w:val="0"/>
  </w:docVars>
  <w:rsids>
    <w:rsidRoot w:val="00893575"/>
    <w:rsid w:val="00000E30"/>
    <w:rsid w:val="00001F51"/>
    <w:rsid w:val="00006DA4"/>
    <w:rsid w:val="00007946"/>
    <w:rsid w:val="0001154F"/>
    <w:rsid w:val="000141A6"/>
    <w:rsid w:val="00020DED"/>
    <w:rsid w:val="00022020"/>
    <w:rsid w:val="00022C85"/>
    <w:rsid w:val="00024684"/>
    <w:rsid w:val="000249E7"/>
    <w:rsid w:val="00025D1C"/>
    <w:rsid w:val="00027D3F"/>
    <w:rsid w:val="000304E4"/>
    <w:rsid w:val="00032EC2"/>
    <w:rsid w:val="00036E98"/>
    <w:rsid w:val="000377EC"/>
    <w:rsid w:val="00054DFD"/>
    <w:rsid w:val="000555BA"/>
    <w:rsid w:val="00055A1E"/>
    <w:rsid w:val="00057567"/>
    <w:rsid w:val="00057649"/>
    <w:rsid w:val="000577C5"/>
    <w:rsid w:val="0006172E"/>
    <w:rsid w:val="000626E3"/>
    <w:rsid w:val="00062F6D"/>
    <w:rsid w:val="00065E43"/>
    <w:rsid w:val="00072318"/>
    <w:rsid w:val="0007631D"/>
    <w:rsid w:val="00081312"/>
    <w:rsid w:val="00083FA6"/>
    <w:rsid w:val="00086EDD"/>
    <w:rsid w:val="00087B50"/>
    <w:rsid w:val="0009108C"/>
    <w:rsid w:val="00095A5F"/>
    <w:rsid w:val="00095E6A"/>
    <w:rsid w:val="00096F0B"/>
    <w:rsid w:val="000A489E"/>
    <w:rsid w:val="000A7523"/>
    <w:rsid w:val="000B09DC"/>
    <w:rsid w:val="000B110D"/>
    <w:rsid w:val="000B147F"/>
    <w:rsid w:val="000B16D1"/>
    <w:rsid w:val="000B2FF6"/>
    <w:rsid w:val="000B4E82"/>
    <w:rsid w:val="000B72E6"/>
    <w:rsid w:val="000B7C3F"/>
    <w:rsid w:val="000C1A62"/>
    <w:rsid w:val="000C6599"/>
    <w:rsid w:val="000D097F"/>
    <w:rsid w:val="000E1370"/>
    <w:rsid w:val="000E1FBD"/>
    <w:rsid w:val="000E2B54"/>
    <w:rsid w:val="000E527D"/>
    <w:rsid w:val="000F3323"/>
    <w:rsid w:val="000F4A4D"/>
    <w:rsid w:val="000F545B"/>
    <w:rsid w:val="00100317"/>
    <w:rsid w:val="00106FA8"/>
    <w:rsid w:val="00111474"/>
    <w:rsid w:val="00111894"/>
    <w:rsid w:val="00114151"/>
    <w:rsid w:val="001211BE"/>
    <w:rsid w:val="00122897"/>
    <w:rsid w:val="00123749"/>
    <w:rsid w:val="00124576"/>
    <w:rsid w:val="00127723"/>
    <w:rsid w:val="001318EE"/>
    <w:rsid w:val="001354F0"/>
    <w:rsid w:val="001406E4"/>
    <w:rsid w:val="0014349B"/>
    <w:rsid w:val="001451E8"/>
    <w:rsid w:val="00147E3C"/>
    <w:rsid w:val="00151F85"/>
    <w:rsid w:val="00162404"/>
    <w:rsid w:val="00163E55"/>
    <w:rsid w:val="001664C4"/>
    <w:rsid w:val="00167CE9"/>
    <w:rsid w:val="001772F2"/>
    <w:rsid w:val="00181AD5"/>
    <w:rsid w:val="00181F05"/>
    <w:rsid w:val="001829E8"/>
    <w:rsid w:val="00182CD0"/>
    <w:rsid w:val="00184802"/>
    <w:rsid w:val="0019295C"/>
    <w:rsid w:val="00194B91"/>
    <w:rsid w:val="001975F6"/>
    <w:rsid w:val="001A0474"/>
    <w:rsid w:val="001A0E4E"/>
    <w:rsid w:val="001A261F"/>
    <w:rsid w:val="001A396D"/>
    <w:rsid w:val="001A4E69"/>
    <w:rsid w:val="001A6C79"/>
    <w:rsid w:val="001A6FAC"/>
    <w:rsid w:val="001B0166"/>
    <w:rsid w:val="001B4D9D"/>
    <w:rsid w:val="001B6CA8"/>
    <w:rsid w:val="001B7C85"/>
    <w:rsid w:val="001B7CEA"/>
    <w:rsid w:val="001C57B0"/>
    <w:rsid w:val="001C6A8D"/>
    <w:rsid w:val="001D1A70"/>
    <w:rsid w:val="001D25F5"/>
    <w:rsid w:val="001D3A93"/>
    <w:rsid w:val="001D7253"/>
    <w:rsid w:val="001D7E2E"/>
    <w:rsid w:val="001F0BB3"/>
    <w:rsid w:val="001F3662"/>
    <w:rsid w:val="001F7AB3"/>
    <w:rsid w:val="00200CE4"/>
    <w:rsid w:val="002048A8"/>
    <w:rsid w:val="00205729"/>
    <w:rsid w:val="002060EB"/>
    <w:rsid w:val="0021651D"/>
    <w:rsid w:val="00217920"/>
    <w:rsid w:val="002206C2"/>
    <w:rsid w:val="002241C1"/>
    <w:rsid w:val="00224423"/>
    <w:rsid w:val="00226908"/>
    <w:rsid w:val="00226E34"/>
    <w:rsid w:val="00235E1E"/>
    <w:rsid w:val="00237DE1"/>
    <w:rsid w:val="00240490"/>
    <w:rsid w:val="00240B6A"/>
    <w:rsid w:val="00244D13"/>
    <w:rsid w:val="002478F5"/>
    <w:rsid w:val="0025298A"/>
    <w:rsid w:val="0025328E"/>
    <w:rsid w:val="00253C83"/>
    <w:rsid w:val="00255B89"/>
    <w:rsid w:val="002613BA"/>
    <w:rsid w:val="002639F2"/>
    <w:rsid w:val="00264B0F"/>
    <w:rsid w:val="00265845"/>
    <w:rsid w:val="0027155F"/>
    <w:rsid w:val="00276172"/>
    <w:rsid w:val="002812FD"/>
    <w:rsid w:val="002876E3"/>
    <w:rsid w:val="00287BC1"/>
    <w:rsid w:val="0029420D"/>
    <w:rsid w:val="0029488D"/>
    <w:rsid w:val="002A2C52"/>
    <w:rsid w:val="002A3665"/>
    <w:rsid w:val="002B05D0"/>
    <w:rsid w:val="002B1DDD"/>
    <w:rsid w:val="002B1FF9"/>
    <w:rsid w:val="002B4E15"/>
    <w:rsid w:val="002B6F0B"/>
    <w:rsid w:val="002B7F33"/>
    <w:rsid w:val="002C20BF"/>
    <w:rsid w:val="002C40A3"/>
    <w:rsid w:val="002C4C9F"/>
    <w:rsid w:val="002C4CF9"/>
    <w:rsid w:val="002D7F09"/>
    <w:rsid w:val="002E128F"/>
    <w:rsid w:val="002F0083"/>
    <w:rsid w:val="002F1565"/>
    <w:rsid w:val="002F2351"/>
    <w:rsid w:val="002F3D51"/>
    <w:rsid w:val="002F3F6C"/>
    <w:rsid w:val="00302AF2"/>
    <w:rsid w:val="00304088"/>
    <w:rsid w:val="00306AB5"/>
    <w:rsid w:val="00315FF2"/>
    <w:rsid w:val="00316D58"/>
    <w:rsid w:val="0031740D"/>
    <w:rsid w:val="00317602"/>
    <w:rsid w:val="00317BEE"/>
    <w:rsid w:val="0032542D"/>
    <w:rsid w:val="003257D1"/>
    <w:rsid w:val="00326650"/>
    <w:rsid w:val="003267D2"/>
    <w:rsid w:val="00327D3D"/>
    <w:rsid w:val="00330A53"/>
    <w:rsid w:val="0033233D"/>
    <w:rsid w:val="00333B94"/>
    <w:rsid w:val="00337B8D"/>
    <w:rsid w:val="0034003D"/>
    <w:rsid w:val="00342BED"/>
    <w:rsid w:val="0034346F"/>
    <w:rsid w:val="00344A0F"/>
    <w:rsid w:val="003515C2"/>
    <w:rsid w:val="003575AA"/>
    <w:rsid w:val="003615F9"/>
    <w:rsid w:val="00361B8E"/>
    <w:rsid w:val="003802E3"/>
    <w:rsid w:val="00381308"/>
    <w:rsid w:val="003817B4"/>
    <w:rsid w:val="00384E12"/>
    <w:rsid w:val="00386E8B"/>
    <w:rsid w:val="00391EE6"/>
    <w:rsid w:val="00393821"/>
    <w:rsid w:val="00393AE8"/>
    <w:rsid w:val="00394CBA"/>
    <w:rsid w:val="003A0151"/>
    <w:rsid w:val="003A29CB"/>
    <w:rsid w:val="003C1871"/>
    <w:rsid w:val="003C2E39"/>
    <w:rsid w:val="003C7285"/>
    <w:rsid w:val="003C7E5F"/>
    <w:rsid w:val="003D0740"/>
    <w:rsid w:val="003D36B8"/>
    <w:rsid w:val="003D7C1C"/>
    <w:rsid w:val="003D7E09"/>
    <w:rsid w:val="003E5D9F"/>
    <w:rsid w:val="00401ECC"/>
    <w:rsid w:val="004059E2"/>
    <w:rsid w:val="00411CED"/>
    <w:rsid w:val="00415425"/>
    <w:rsid w:val="00420BDA"/>
    <w:rsid w:val="004216A9"/>
    <w:rsid w:val="00423443"/>
    <w:rsid w:val="00426772"/>
    <w:rsid w:val="004308E5"/>
    <w:rsid w:val="0043576B"/>
    <w:rsid w:val="004363F4"/>
    <w:rsid w:val="00444B68"/>
    <w:rsid w:val="00445294"/>
    <w:rsid w:val="00446D16"/>
    <w:rsid w:val="00446FDC"/>
    <w:rsid w:val="004520F4"/>
    <w:rsid w:val="00455D8E"/>
    <w:rsid w:val="00464EBB"/>
    <w:rsid w:val="00467D4F"/>
    <w:rsid w:val="00467E78"/>
    <w:rsid w:val="00470406"/>
    <w:rsid w:val="00471DCA"/>
    <w:rsid w:val="004820E8"/>
    <w:rsid w:val="00490BD9"/>
    <w:rsid w:val="00493A9A"/>
    <w:rsid w:val="00495720"/>
    <w:rsid w:val="0049731E"/>
    <w:rsid w:val="0049739A"/>
    <w:rsid w:val="004A2279"/>
    <w:rsid w:val="004B25CC"/>
    <w:rsid w:val="004D61F3"/>
    <w:rsid w:val="004E3755"/>
    <w:rsid w:val="004F17A8"/>
    <w:rsid w:val="004F387C"/>
    <w:rsid w:val="004F41B9"/>
    <w:rsid w:val="004F59D3"/>
    <w:rsid w:val="004F73B9"/>
    <w:rsid w:val="004F7BE8"/>
    <w:rsid w:val="00503D91"/>
    <w:rsid w:val="005074E7"/>
    <w:rsid w:val="00507957"/>
    <w:rsid w:val="00513FE0"/>
    <w:rsid w:val="0051456A"/>
    <w:rsid w:val="00520ADB"/>
    <w:rsid w:val="00520EA6"/>
    <w:rsid w:val="00522B7B"/>
    <w:rsid w:val="00523544"/>
    <w:rsid w:val="00523F5B"/>
    <w:rsid w:val="005247B7"/>
    <w:rsid w:val="00532EDC"/>
    <w:rsid w:val="005337B3"/>
    <w:rsid w:val="005338FE"/>
    <w:rsid w:val="00536804"/>
    <w:rsid w:val="00542EBA"/>
    <w:rsid w:val="005445E4"/>
    <w:rsid w:val="00544F3C"/>
    <w:rsid w:val="005530AF"/>
    <w:rsid w:val="00554349"/>
    <w:rsid w:val="00554986"/>
    <w:rsid w:val="00554A7E"/>
    <w:rsid w:val="00560E34"/>
    <w:rsid w:val="00562FF3"/>
    <w:rsid w:val="005672E8"/>
    <w:rsid w:val="005701EA"/>
    <w:rsid w:val="0057171D"/>
    <w:rsid w:val="00572BF4"/>
    <w:rsid w:val="00573FB0"/>
    <w:rsid w:val="005742A6"/>
    <w:rsid w:val="00574A2E"/>
    <w:rsid w:val="0057626A"/>
    <w:rsid w:val="005773E3"/>
    <w:rsid w:val="005822BF"/>
    <w:rsid w:val="00586A98"/>
    <w:rsid w:val="00594CDC"/>
    <w:rsid w:val="005A14BF"/>
    <w:rsid w:val="005A7B9E"/>
    <w:rsid w:val="005B0200"/>
    <w:rsid w:val="005B3B4D"/>
    <w:rsid w:val="005B7872"/>
    <w:rsid w:val="005C40F7"/>
    <w:rsid w:val="005C7986"/>
    <w:rsid w:val="005D22B6"/>
    <w:rsid w:val="005D7670"/>
    <w:rsid w:val="005E4180"/>
    <w:rsid w:val="005E46AA"/>
    <w:rsid w:val="005E555F"/>
    <w:rsid w:val="005F031B"/>
    <w:rsid w:val="005F08F8"/>
    <w:rsid w:val="005F3E62"/>
    <w:rsid w:val="005F4E47"/>
    <w:rsid w:val="005F577E"/>
    <w:rsid w:val="005F78B0"/>
    <w:rsid w:val="006078E5"/>
    <w:rsid w:val="006144A6"/>
    <w:rsid w:val="00614E46"/>
    <w:rsid w:val="006212C6"/>
    <w:rsid w:val="0062214E"/>
    <w:rsid w:val="00623806"/>
    <w:rsid w:val="00623B78"/>
    <w:rsid w:val="00627EB0"/>
    <w:rsid w:val="006325F2"/>
    <w:rsid w:val="00635ECA"/>
    <w:rsid w:val="00637529"/>
    <w:rsid w:val="00643479"/>
    <w:rsid w:val="006442E8"/>
    <w:rsid w:val="006454A9"/>
    <w:rsid w:val="0064709A"/>
    <w:rsid w:val="0065317C"/>
    <w:rsid w:val="00670320"/>
    <w:rsid w:val="006705E2"/>
    <w:rsid w:val="0067252B"/>
    <w:rsid w:val="00685B96"/>
    <w:rsid w:val="00686A08"/>
    <w:rsid w:val="00697360"/>
    <w:rsid w:val="006A4DE3"/>
    <w:rsid w:val="006B054D"/>
    <w:rsid w:val="006B2164"/>
    <w:rsid w:val="006C3383"/>
    <w:rsid w:val="006C37F6"/>
    <w:rsid w:val="006C45CA"/>
    <w:rsid w:val="006C4F60"/>
    <w:rsid w:val="006C73EB"/>
    <w:rsid w:val="006D19B5"/>
    <w:rsid w:val="006D5604"/>
    <w:rsid w:val="006E4CBD"/>
    <w:rsid w:val="006E764E"/>
    <w:rsid w:val="006F0887"/>
    <w:rsid w:val="006F0D7C"/>
    <w:rsid w:val="006F589C"/>
    <w:rsid w:val="007010B9"/>
    <w:rsid w:val="007219B6"/>
    <w:rsid w:val="00722090"/>
    <w:rsid w:val="007221F5"/>
    <w:rsid w:val="00724CC9"/>
    <w:rsid w:val="00726C91"/>
    <w:rsid w:val="00732959"/>
    <w:rsid w:val="007329BE"/>
    <w:rsid w:val="00732B91"/>
    <w:rsid w:val="0073424E"/>
    <w:rsid w:val="007372C0"/>
    <w:rsid w:val="007372CF"/>
    <w:rsid w:val="00737958"/>
    <w:rsid w:val="0074032B"/>
    <w:rsid w:val="007404FF"/>
    <w:rsid w:val="00743824"/>
    <w:rsid w:val="00743C5F"/>
    <w:rsid w:val="00753C49"/>
    <w:rsid w:val="00764056"/>
    <w:rsid w:val="00764277"/>
    <w:rsid w:val="00765FEE"/>
    <w:rsid w:val="00775377"/>
    <w:rsid w:val="007841B5"/>
    <w:rsid w:val="00787D83"/>
    <w:rsid w:val="00794A70"/>
    <w:rsid w:val="00797310"/>
    <w:rsid w:val="007B0DF0"/>
    <w:rsid w:val="007B3389"/>
    <w:rsid w:val="007C1292"/>
    <w:rsid w:val="007C2BDB"/>
    <w:rsid w:val="007C3419"/>
    <w:rsid w:val="007C614B"/>
    <w:rsid w:val="007D19EA"/>
    <w:rsid w:val="007D2631"/>
    <w:rsid w:val="007D450B"/>
    <w:rsid w:val="007F53CD"/>
    <w:rsid w:val="007F6306"/>
    <w:rsid w:val="007F6370"/>
    <w:rsid w:val="00810463"/>
    <w:rsid w:val="00812E8B"/>
    <w:rsid w:val="00812F72"/>
    <w:rsid w:val="0082082B"/>
    <w:rsid w:val="00823FAB"/>
    <w:rsid w:val="0082535E"/>
    <w:rsid w:val="0082717D"/>
    <w:rsid w:val="0083351D"/>
    <w:rsid w:val="00840307"/>
    <w:rsid w:val="008415F8"/>
    <w:rsid w:val="008472E9"/>
    <w:rsid w:val="008475A6"/>
    <w:rsid w:val="00865511"/>
    <w:rsid w:val="00865C15"/>
    <w:rsid w:val="00866885"/>
    <w:rsid w:val="00866CB4"/>
    <w:rsid w:val="00866F9E"/>
    <w:rsid w:val="00867E33"/>
    <w:rsid w:val="008720C5"/>
    <w:rsid w:val="00876109"/>
    <w:rsid w:val="0087625B"/>
    <w:rsid w:val="00880DDC"/>
    <w:rsid w:val="00883D2A"/>
    <w:rsid w:val="00885782"/>
    <w:rsid w:val="008875EC"/>
    <w:rsid w:val="00893575"/>
    <w:rsid w:val="00895163"/>
    <w:rsid w:val="00895B25"/>
    <w:rsid w:val="00895E9B"/>
    <w:rsid w:val="008A1251"/>
    <w:rsid w:val="008A22E8"/>
    <w:rsid w:val="008B438A"/>
    <w:rsid w:val="008B7B4F"/>
    <w:rsid w:val="008B7BAC"/>
    <w:rsid w:val="008C246A"/>
    <w:rsid w:val="008C4F0B"/>
    <w:rsid w:val="008C79CD"/>
    <w:rsid w:val="008D798F"/>
    <w:rsid w:val="008F25AB"/>
    <w:rsid w:val="008F3BA7"/>
    <w:rsid w:val="008F3F9C"/>
    <w:rsid w:val="008F61E0"/>
    <w:rsid w:val="008F6CE4"/>
    <w:rsid w:val="00907033"/>
    <w:rsid w:val="00910747"/>
    <w:rsid w:val="00911301"/>
    <w:rsid w:val="00926A48"/>
    <w:rsid w:val="00930F53"/>
    <w:rsid w:val="00934FC0"/>
    <w:rsid w:val="00947DCB"/>
    <w:rsid w:val="00954BCE"/>
    <w:rsid w:val="00956D31"/>
    <w:rsid w:val="00960C83"/>
    <w:rsid w:val="009639A3"/>
    <w:rsid w:val="009674CE"/>
    <w:rsid w:val="00975115"/>
    <w:rsid w:val="009765D2"/>
    <w:rsid w:val="0098257B"/>
    <w:rsid w:val="0098260A"/>
    <w:rsid w:val="00983ADF"/>
    <w:rsid w:val="00984428"/>
    <w:rsid w:val="00986021"/>
    <w:rsid w:val="0099014B"/>
    <w:rsid w:val="00995CA7"/>
    <w:rsid w:val="00997041"/>
    <w:rsid w:val="009974A6"/>
    <w:rsid w:val="009A4ADC"/>
    <w:rsid w:val="009A6616"/>
    <w:rsid w:val="009B0109"/>
    <w:rsid w:val="009B0706"/>
    <w:rsid w:val="009B2AB0"/>
    <w:rsid w:val="009B3CE4"/>
    <w:rsid w:val="009B6CDF"/>
    <w:rsid w:val="009C2FF8"/>
    <w:rsid w:val="009C5155"/>
    <w:rsid w:val="009C60E5"/>
    <w:rsid w:val="009D0FAB"/>
    <w:rsid w:val="009D1567"/>
    <w:rsid w:val="009D21BA"/>
    <w:rsid w:val="009D2D9D"/>
    <w:rsid w:val="009D2FDC"/>
    <w:rsid w:val="009D4C16"/>
    <w:rsid w:val="009D6958"/>
    <w:rsid w:val="009D7724"/>
    <w:rsid w:val="009E1423"/>
    <w:rsid w:val="009F29E8"/>
    <w:rsid w:val="00A01B41"/>
    <w:rsid w:val="00A0635C"/>
    <w:rsid w:val="00A07039"/>
    <w:rsid w:val="00A07618"/>
    <w:rsid w:val="00A10B04"/>
    <w:rsid w:val="00A126A4"/>
    <w:rsid w:val="00A244FF"/>
    <w:rsid w:val="00A26506"/>
    <w:rsid w:val="00A30772"/>
    <w:rsid w:val="00A31A44"/>
    <w:rsid w:val="00A33427"/>
    <w:rsid w:val="00A36948"/>
    <w:rsid w:val="00A416B9"/>
    <w:rsid w:val="00A424DC"/>
    <w:rsid w:val="00A518D8"/>
    <w:rsid w:val="00A67218"/>
    <w:rsid w:val="00A6755D"/>
    <w:rsid w:val="00A679E5"/>
    <w:rsid w:val="00A67A42"/>
    <w:rsid w:val="00A7062F"/>
    <w:rsid w:val="00A75084"/>
    <w:rsid w:val="00A766E8"/>
    <w:rsid w:val="00A76DC3"/>
    <w:rsid w:val="00A77C80"/>
    <w:rsid w:val="00A80F4A"/>
    <w:rsid w:val="00A8528A"/>
    <w:rsid w:val="00A96AE5"/>
    <w:rsid w:val="00AA3A01"/>
    <w:rsid w:val="00AA3FC8"/>
    <w:rsid w:val="00AA4795"/>
    <w:rsid w:val="00AA6EC3"/>
    <w:rsid w:val="00AB358C"/>
    <w:rsid w:val="00AB39C9"/>
    <w:rsid w:val="00AB5F5E"/>
    <w:rsid w:val="00AB6395"/>
    <w:rsid w:val="00AC09A8"/>
    <w:rsid w:val="00AC1113"/>
    <w:rsid w:val="00AC690B"/>
    <w:rsid w:val="00AD294F"/>
    <w:rsid w:val="00AD6555"/>
    <w:rsid w:val="00AD7652"/>
    <w:rsid w:val="00AE013B"/>
    <w:rsid w:val="00AE3700"/>
    <w:rsid w:val="00AE6054"/>
    <w:rsid w:val="00AE7B23"/>
    <w:rsid w:val="00AF2861"/>
    <w:rsid w:val="00AF2BBC"/>
    <w:rsid w:val="00AF4D34"/>
    <w:rsid w:val="00B01EB6"/>
    <w:rsid w:val="00B03874"/>
    <w:rsid w:val="00B03CC5"/>
    <w:rsid w:val="00B05A11"/>
    <w:rsid w:val="00B06509"/>
    <w:rsid w:val="00B0737D"/>
    <w:rsid w:val="00B16461"/>
    <w:rsid w:val="00B21921"/>
    <w:rsid w:val="00B257A4"/>
    <w:rsid w:val="00B27AEE"/>
    <w:rsid w:val="00B3372A"/>
    <w:rsid w:val="00B33E5C"/>
    <w:rsid w:val="00B34768"/>
    <w:rsid w:val="00B3640B"/>
    <w:rsid w:val="00B44269"/>
    <w:rsid w:val="00B450CA"/>
    <w:rsid w:val="00B463DD"/>
    <w:rsid w:val="00B46717"/>
    <w:rsid w:val="00B4735B"/>
    <w:rsid w:val="00B47D8F"/>
    <w:rsid w:val="00B57566"/>
    <w:rsid w:val="00B60F0F"/>
    <w:rsid w:val="00B623B6"/>
    <w:rsid w:val="00B665F4"/>
    <w:rsid w:val="00B7089A"/>
    <w:rsid w:val="00B72A60"/>
    <w:rsid w:val="00B73428"/>
    <w:rsid w:val="00B7406E"/>
    <w:rsid w:val="00B751FB"/>
    <w:rsid w:val="00B76691"/>
    <w:rsid w:val="00B81C43"/>
    <w:rsid w:val="00B81CD8"/>
    <w:rsid w:val="00B81F3F"/>
    <w:rsid w:val="00B828E0"/>
    <w:rsid w:val="00B83C58"/>
    <w:rsid w:val="00B85D52"/>
    <w:rsid w:val="00B94536"/>
    <w:rsid w:val="00BA1E16"/>
    <w:rsid w:val="00BA3077"/>
    <w:rsid w:val="00BA36D0"/>
    <w:rsid w:val="00BA480D"/>
    <w:rsid w:val="00BA68D5"/>
    <w:rsid w:val="00BB69F0"/>
    <w:rsid w:val="00BB7B6A"/>
    <w:rsid w:val="00BC1EAA"/>
    <w:rsid w:val="00BC3654"/>
    <w:rsid w:val="00BC4EB4"/>
    <w:rsid w:val="00BC57ED"/>
    <w:rsid w:val="00BC7549"/>
    <w:rsid w:val="00BC78E0"/>
    <w:rsid w:val="00BD08C5"/>
    <w:rsid w:val="00BD3C15"/>
    <w:rsid w:val="00BD3CCB"/>
    <w:rsid w:val="00BD4396"/>
    <w:rsid w:val="00BD4CAA"/>
    <w:rsid w:val="00BE0BE8"/>
    <w:rsid w:val="00BE5946"/>
    <w:rsid w:val="00BE7CE5"/>
    <w:rsid w:val="00C02F61"/>
    <w:rsid w:val="00C12DE3"/>
    <w:rsid w:val="00C20841"/>
    <w:rsid w:val="00C2203E"/>
    <w:rsid w:val="00C22D30"/>
    <w:rsid w:val="00C4017B"/>
    <w:rsid w:val="00C40713"/>
    <w:rsid w:val="00C41115"/>
    <w:rsid w:val="00C4373B"/>
    <w:rsid w:val="00C43AA5"/>
    <w:rsid w:val="00C55E50"/>
    <w:rsid w:val="00C6423A"/>
    <w:rsid w:val="00C6627F"/>
    <w:rsid w:val="00C66F13"/>
    <w:rsid w:val="00C67F55"/>
    <w:rsid w:val="00C71C24"/>
    <w:rsid w:val="00C7213D"/>
    <w:rsid w:val="00C72DBE"/>
    <w:rsid w:val="00C7708A"/>
    <w:rsid w:val="00C77235"/>
    <w:rsid w:val="00C8037D"/>
    <w:rsid w:val="00C8291A"/>
    <w:rsid w:val="00C92766"/>
    <w:rsid w:val="00C94B18"/>
    <w:rsid w:val="00CA09AC"/>
    <w:rsid w:val="00CA6971"/>
    <w:rsid w:val="00CA7CE5"/>
    <w:rsid w:val="00CB1412"/>
    <w:rsid w:val="00CB1589"/>
    <w:rsid w:val="00CB30DF"/>
    <w:rsid w:val="00CB50DF"/>
    <w:rsid w:val="00CC06C9"/>
    <w:rsid w:val="00CC7B7A"/>
    <w:rsid w:val="00CD2127"/>
    <w:rsid w:val="00CD2850"/>
    <w:rsid w:val="00CD28C2"/>
    <w:rsid w:val="00CD3B9F"/>
    <w:rsid w:val="00CD54D1"/>
    <w:rsid w:val="00CE0786"/>
    <w:rsid w:val="00CE12A3"/>
    <w:rsid w:val="00CE6BF8"/>
    <w:rsid w:val="00CF01B4"/>
    <w:rsid w:val="00CF0427"/>
    <w:rsid w:val="00CF0837"/>
    <w:rsid w:val="00CF5E63"/>
    <w:rsid w:val="00CF6C9B"/>
    <w:rsid w:val="00CF6ECE"/>
    <w:rsid w:val="00CF7B8E"/>
    <w:rsid w:val="00D046E1"/>
    <w:rsid w:val="00D125F4"/>
    <w:rsid w:val="00D2564F"/>
    <w:rsid w:val="00D272CF"/>
    <w:rsid w:val="00D27877"/>
    <w:rsid w:val="00D31603"/>
    <w:rsid w:val="00D32DA7"/>
    <w:rsid w:val="00D33380"/>
    <w:rsid w:val="00D41D84"/>
    <w:rsid w:val="00D43437"/>
    <w:rsid w:val="00D45165"/>
    <w:rsid w:val="00D45E8B"/>
    <w:rsid w:val="00D46760"/>
    <w:rsid w:val="00D60C24"/>
    <w:rsid w:val="00D63054"/>
    <w:rsid w:val="00D71A7E"/>
    <w:rsid w:val="00D76EA9"/>
    <w:rsid w:val="00D80798"/>
    <w:rsid w:val="00D80A63"/>
    <w:rsid w:val="00D8788F"/>
    <w:rsid w:val="00D905F9"/>
    <w:rsid w:val="00D907D0"/>
    <w:rsid w:val="00D925AF"/>
    <w:rsid w:val="00D94828"/>
    <w:rsid w:val="00D951A1"/>
    <w:rsid w:val="00D9549E"/>
    <w:rsid w:val="00DA2D37"/>
    <w:rsid w:val="00DA45D4"/>
    <w:rsid w:val="00DA58A7"/>
    <w:rsid w:val="00DB34FC"/>
    <w:rsid w:val="00DB429C"/>
    <w:rsid w:val="00DC486C"/>
    <w:rsid w:val="00DD1105"/>
    <w:rsid w:val="00DD1C77"/>
    <w:rsid w:val="00DD2882"/>
    <w:rsid w:val="00DD4A37"/>
    <w:rsid w:val="00DD6412"/>
    <w:rsid w:val="00DE193B"/>
    <w:rsid w:val="00DE5C97"/>
    <w:rsid w:val="00DE64F4"/>
    <w:rsid w:val="00DF4612"/>
    <w:rsid w:val="00E03DD6"/>
    <w:rsid w:val="00E0661B"/>
    <w:rsid w:val="00E07E4F"/>
    <w:rsid w:val="00E1122A"/>
    <w:rsid w:val="00E17C71"/>
    <w:rsid w:val="00E213D5"/>
    <w:rsid w:val="00E2791E"/>
    <w:rsid w:val="00E31D2E"/>
    <w:rsid w:val="00E332C5"/>
    <w:rsid w:val="00E34D51"/>
    <w:rsid w:val="00E35765"/>
    <w:rsid w:val="00E57E13"/>
    <w:rsid w:val="00E60A86"/>
    <w:rsid w:val="00E6221A"/>
    <w:rsid w:val="00E666CD"/>
    <w:rsid w:val="00E66A84"/>
    <w:rsid w:val="00E71E65"/>
    <w:rsid w:val="00E72C87"/>
    <w:rsid w:val="00E72F00"/>
    <w:rsid w:val="00E736E8"/>
    <w:rsid w:val="00E75DE5"/>
    <w:rsid w:val="00E82C1B"/>
    <w:rsid w:val="00E83190"/>
    <w:rsid w:val="00E8329D"/>
    <w:rsid w:val="00E8442D"/>
    <w:rsid w:val="00E84909"/>
    <w:rsid w:val="00E85909"/>
    <w:rsid w:val="00E93A5F"/>
    <w:rsid w:val="00E9698A"/>
    <w:rsid w:val="00EA0651"/>
    <w:rsid w:val="00EA0C50"/>
    <w:rsid w:val="00EA33A2"/>
    <w:rsid w:val="00EA5B02"/>
    <w:rsid w:val="00EB564E"/>
    <w:rsid w:val="00EB5F91"/>
    <w:rsid w:val="00EC375A"/>
    <w:rsid w:val="00EC616C"/>
    <w:rsid w:val="00ED0A4A"/>
    <w:rsid w:val="00ED6138"/>
    <w:rsid w:val="00EE028A"/>
    <w:rsid w:val="00EE56F5"/>
    <w:rsid w:val="00EE6945"/>
    <w:rsid w:val="00EE6B2A"/>
    <w:rsid w:val="00EF0E51"/>
    <w:rsid w:val="00EF359F"/>
    <w:rsid w:val="00EF5742"/>
    <w:rsid w:val="00F049C1"/>
    <w:rsid w:val="00F04BBF"/>
    <w:rsid w:val="00F109B2"/>
    <w:rsid w:val="00F10E98"/>
    <w:rsid w:val="00F1566F"/>
    <w:rsid w:val="00F16A8B"/>
    <w:rsid w:val="00F25629"/>
    <w:rsid w:val="00F31339"/>
    <w:rsid w:val="00F3452B"/>
    <w:rsid w:val="00F37301"/>
    <w:rsid w:val="00F4122F"/>
    <w:rsid w:val="00F41306"/>
    <w:rsid w:val="00F46137"/>
    <w:rsid w:val="00F47853"/>
    <w:rsid w:val="00F52EE8"/>
    <w:rsid w:val="00F53C9B"/>
    <w:rsid w:val="00F55A9B"/>
    <w:rsid w:val="00F621F5"/>
    <w:rsid w:val="00F62805"/>
    <w:rsid w:val="00F62926"/>
    <w:rsid w:val="00F7100F"/>
    <w:rsid w:val="00F75706"/>
    <w:rsid w:val="00F83DF5"/>
    <w:rsid w:val="00F84B89"/>
    <w:rsid w:val="00F90345"/>
    <w:rsid w:val="00F91D54"/>
    <w:rsid w:val="00F95B42"/>
    <w:rsid w:val="00FA0B9C"/>
    <w:rsid w:val="00FA4EBB"/>
    <w:rsid w:val="00FA618B"/>
    <w:rsid w:val="00FA704B"/>
    <w:rsid w:val="00FB25E0"/>
    <w:rsid w:val="00FB713A"/>
    <w:rsid w:val="00FB7E8B"/>
    <w:rsid w:val="00FC1413"/>
    <w:rsid w:val="00FC2A0C"/>
    <w:rsid w:val="00FC4E5F"/>
    <w:rsid w:val="00FC5B50"/>
    <w:rsid w:val="00FD0D77"/>
    <w:rsid w:val="00FD2623"/>
    <w:rsid w:val="00FD2F84"/>
    <w:rsid w:val="00FD4996"/>
    <w:rsid w:val="00FD5AAB"/>
    <w:rsid w:val="00FD6F0D"/>
    <w:rsid w:val="00FE1789"/>
    <w:rsid w:val="00FE5015"/>
    <w:rsid w:val="00FE57C7"/>
    <w:rsid w:val="00FE7777"/>
    <w:rsid w:val="00FF0F16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E"/>
    <w:rPr>
      <w:rFonts w:ascii="Arial" w:hAnsi="Arial"/>
      <w:color w:val="231F2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24DC"/>
    <w:pPr>
      <w:numPr>
        <w:numId w:val="1"/>
      </w:numPr>
      <w:spacing w:before="240" w:after="40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1E"/>
    <w:rPr>
      <w:rFonts w:ascii="Tahoma" w:hAnsi="Tahoma" w:cs="Tahoma"/>
      <w:color w:val="404040" w:themeColor="text1" w:themeTint="BF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03E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0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03E"/>
    <w:pPr>
      <w:spacing w:after="20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B3"/>
    <w:pPr>
      <w:spacing w:after="16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B3"/>
    <w:rPr>
      <w:rFonts w:ascii="Arial" w:hAnsi="Arial"/>
      <w:b/>
      <w:bCs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1F0BB3"/>
    <w:pPr>
      <w:spacing w:after="0" w:line="240" w:lineRule="auto"/>
    </w:pPr>
    <w:rPr>
      <w:rFonts w:ascii="Arial" w:hAnsi="Arial"/>
      <w:color w:val="231F20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2EE8"/>
    <w:rPr>
      <w:rFonts w:ascii="Arial" w:hAnsi="Arial"/>
      <w:color w:val="231F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E"/>
    <w:rPr>
      <w:rFonts w:ascii="Arial" w:hAnsi="Arial"/>
      <w:color w:val="231F2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24DC"/>
    <w:pPr>
      <w:numPr>
        <w:numId w:val="1"/>
      </w:numPr>
      <w:spacing w:before="240" w:after="40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1E"/>
    <w:rPr>
      <w:rFonts w:ascii="Tahoma" w:hAnsi="Tahoma" w:cs="Tahoma"/>
      <w:color w:val="404040" w:themeColor="text1" w:themeTint="BF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03E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0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03E"/>
    <w:pPr>
      <w:spacing w:after="20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B3"/>
    <w:pPr>
      <w:spacing w:after="16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B3"/>
    <w:rPr>
      <w:rFonts w:ascii="Arial" w:hAnsi="Arial"/>
      <w:b/>
      <w:bCs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1F0BB3"/>
    <w:pPr>
      <w:spacing w:after="0" w:line="240" w:lineRule="auto"/>
    </w:pPr>
    <w:rPr>
      <w:rFonts w:ascii="Arial" w:hAnsi="Arial"/>
      <w:color w:val="231F20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2EE8"/>
    <w:rPr>
      <w:rFonts w:ascii="Arial" w:hAnsi="Arial"/>
      <w:color w:val="231F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bholland@agric.wa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.duff@agric.wa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gric.wa.gov.au/n/3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ic.smartygrants.com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DAFWA_Accessible_Template_v3_CoverPag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BF44-B526-47CE-8FD4-0324B3EB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DAFWA_Accessible_Template_v3_CoverPage final</Template>
  <TotalTime>1</TotalTime>
  <Pages>5</Pages>
  <Words>1474</Words>
  <Characters>8408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Karolina</dc:creator>
  <cp:lastModifiedBy>Palmer, Kirrily</cp:lastModifiedBy>
  <cp:revision>2</cp:revision>
  <cp:lastPrinted>2016-11-16T03:13:00Z</cp:lastPrinted>
  <dcterms:created xsi:type="dcterms:W3CDTF">2017-02-02T04:57:00Z</dcterms:created>
  <dcterms:modified xsi:type="dcterms:W3CDTF">2017-02-02T04:57:00Z</dcterms:modified>
</cp:coreProperties>
</file>