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69" w:rsidRDefault="00295C67" w:rsidP="008C6588">
      <w:pPr>
        <w:pStyle w:val="Heading1"/>
        <w:spacing w:before="240"/>
        <w:rPr>
          <w:color w:val="000000" w:themeColor="text1"/>
        </w:rPr>
      </w:pPr>
      <w:r w:rsidRPr="00715DB0">
        <w:rPr>
          <w:color w:val="000000" w:themeColor="text1"/>
        </w:rPr>
        <w:t>Fungicides at seeding</w:t>
      </w:r>
      <w:r w:rsidRPr="007C678A">
        <w:rPr>
          <w:color w:val="000000"/>
        </w:rPr>
        <w:t xml:space="preserve"> </w:t>
      </w:r>
      <w:r>
        <w:rPr>
          <w:color w:val="000000"/>
        </w:rPr>
        <w:t>for management of cereal foliar diseases</w:t>
      </w:r>
      <w:r>
        <w:rPr>
          <w:color w:val="000000" w:themeColor="text1"/>
        </w:rPr>
        <w:t>:</w:t>
      </w:r>
      <w:r w:rsidR="00297596">
        <w:rPr>
          <w:color w:val="000000" w:themeColor="text1"/>
        </w:rPr>
        <w:t xml:space="preserve"> </w:t>
      </w:r>
      <w:r w:rsidR="008E6869">
        <w:rPr>
          <w:color w:val="000000" w:themeColor="text1"/>
        </w:rPr>
        <w:t>powdery mildew</w:t>
      </w:r>
      <w:r w:rsidR="009E661E" w:rsidRPr="009E661E">
        <w:rPr>
          <w:color w:val="000000" w:themeColor="text1"/>
        </w:rPr>
        <w:t xml:space="preserve"> </w:t>
      </w:r>
      <w:r w:rsidR="009E661E">
        <w:rPr>
          <w:color w:val="000000" w:themeColor="text1"/>
        </w:rPr>
        <w:t>in wheat</w:t>
      </w:r>
    </w:p>
    <w:p w:rsidR="00715DB0" w:rsidRPr="00715DB0" w:rsidRDefault="00715DB0" w:rsidP="008C6588">
      <w:pPr>
        <w:pStyle w:val="Author"/>
        <w:rPr>
          <w:sz w:val="22"/>
          <w:szCs w:val="22"/>
        </w:rPr>
      </w:pPr>
      <w:r w:rsidRPr="008E6869">
        <w:rPr>
          <w:rStyle w:val="Strong"/>
          <w:b/>
          <w:szCs w:val="22"/>
        </w:rPr>
        <w:t>Geoff Thomas</w:t>
      </w:r>
      <w:r w:rsidRPr="008E6869">
        <w:rPr>
          <w:rStyle w:val="Strong"/>
          <w:b/>
          <w:szCs w:val="22"/>
          <w:vertAlign w:val="superscript"/>
        </w:rPr>
        <w:t>1</w:t>
      </w:r>
      <w:r w:rsidRPr="008E6869">
        <w:rPr>
          <w:rStyle w:val="Strong"/>
          <w:b/>
          <w:szCs w:val="22"/>
        </w:rPr>
        <w:t xml:space="preserve">, </w:t>
      </w:r>
      <w:r w:rsidR="008E6869" w:rsidRPr="008E6869">
        <w:rPr>
          <w:rStyle w:val="Strong"/>
          <w:b/>
          <w:szCs w:val="22"/>
        </w:rPr>
        <w:t>Ciara Beard</w:t>
      </w:r>
      <w:r w:rsidR="008E6869" w:rsidRPr="008E6869">
        <w:rPr>
          <w:b w:val="0"/>
          <w:sz w:val="22"/>
          <w:szCs w:val="22"/>
          <w:vertAlign w:val="superscript"/>
        </w:rPr>
        <w:t>2</w:t>
      </w:r>
      <w:r w:rsidR="008E6869" w:rsidRPr="008E6869">
        <w:rPr>
          <w:rStyle w:val="Strong"/>
          <w:b/>
          <w:szCs w:val="22"/>
        </w:rPr>
        <w:t>,</w:t>
      </w:r>
      <w:r w:rsidR="008E6869">
        <w:rPr>
          <w:rStyle w:val="Strong"/>
          <w:b/>
          <w:szCs w:val="22"/>
        </w:rPr>
        <w:t xml:space="preserve"> </w:t>
      </w:r>
      <w:r w:rsidRPr="008E6869">
        <w:rPr>
          <w:rStyle w:val="Strong"/>
          <w:b/>
          <w:szCs w:val="22"/>
        </w:rPr>
        <w:t>Kithsiri Jayasena</w:t>
      </w:r>
      <w:r w:rsidR="008E6869">
        <w:rPr>
          <w:rStyle w:val="Strong"/>
          <w:b/>
          <w:szCs w:val="22"/>
          <w:vertAlign w:val="superscript"/>
        </w:rPr>
        <w:t>3</w:t>
      </w:r>
      <w:r w:rsidRPr="008E6869">
        <w:rPr>
          <w:rStyle w:val="Strong"/>
          <w:b/>
          <w:szCs w:val="22"/>
        </w:rPr>
        <w:t>,</w:t>
      </w:r>
      <w:r w:rsidR="00297596" w:rsidRPr="008E6869">
        <w:rPr>
          <w:rStyle w:val="Strong"/>
          <w:b/>
          <w:szCs w:val="22"/>
        </w:rPr>
        <w:t xml:space="preserve"> </w:t>
      </w:r>
      <w:r w:rsidR="008E6869" w:rsidRPr="008E6869">
        <w:rPr>
          <w:rStyle w:val="Strong"/>
          <w:b/>
          <w:szCs w:val="22"/>
        </w:rPr>
        <w:t>Andrea Hills</w:t>
      </w:r>
      <w:r w:rsidR="008E6869" w:rsidRPr="008E6869">
        <w:rPr>
          <w:rStyle w:val="Strong"/>
          <w:szCs w:val="22"/>
          <w:vertAlign w:val="superscript"/>
        </w:rPr>
        <w:t>4</w:t>
      </w:r>
      <w:r w:rsidR="008E6869">
        <w:rPr>
          <w:rStyle w:val="Strong"/>
          <w:b/>
          <w:szCs w:val="22"/>
        </w:rPr>
        <w:t>,</w:t>
      </w:r>
      <w:r w:rsidR="008E6869">
        <w:rPr>
          <w:rStyle w:val="Strong"/>
          <w:b/>
          <w:szCs w:val="22"/>
          <w:vertAlign w:val="superscript"/>
        </w:rPr>
        <w:t xml:space="preserve"> </w:t>
      </w:r>
      <w:r w:rsidRPr="008E6869">
        <w:rPr>
          <w:rStyle w:val="Strong"/>
          <w:b/>
          <w:szCs w:val="22"/>
        </w:rPr>
        <w:t>Jason Bradley</w:t>
      </w:r>
      <w:r w:rsidRPr="008E6869">
        <w:rPr>
          <w:rStyle w:val="Strong"/>
          <w:szCs w:val="22"/>
          <w:vertAlign w:val="superscript"/>
        </w:rPr>
        <w:t>1</w:t>
      </w:r>
      <w:r w:rsidR="008E6869" w:rsidRPr="008E6869">
        <w:rPr>
          <w:sz w:val="22"/>
          <w:szCs w:val="22"/>
        </w:rPr>
        <w:t xml:space="preserve"> and</w:t>
      </w:r>
      <w:r w:rsidR="008E6869" w:rsidRPr="008E6869">
        <w:rPr>
          <w:b w:val="0"/>
          <w:sz w:val="22"/>
          <w:szCs w:val="22"/>
        </w:rPr>
        <w:t xml:space="preserve"> </w:t>
      </w:r>
      <w:r w:rsidR="008E6869" w:rsidRPr="008E6869">
        <w:rPr>
          <w:rStyle w:val="Strong"/>
          <w:b/>
          <w:szCs w:val="22"/>
        </w:rPr>
        <w:t>Anne</w:t>
      </w:r>
      <w:r w:rsidR="008E6869" w:rsidRPr="008E6869">
        <w:rPr>
          <w:rStyle w:val="Strong"/>
        </w:rPr>
        <w:t xml:space="preserve"> </w:t>
      </w:r>
      <w:r w:rsidR="008E6869" w:rsidRPr="008E6869">
        <w:rPr>
          <w:rStyle w:val="Strong"/>
          <w:b/>
        </w:rPr>
        <w:t>Smith</w:t>
      </w:r>
      <w:r w:rsidR="008E6869" w:rsidRPr="008E6869">
        <w:rPr>
          <w:rStyle w:val="Strong"/>
          <w:vertAlign w:val="superscript"/>
        </w:rPr>
        <w:t>2</w:t>
      </w:r>
      <w:r w:rsidR="008E6869">
        <w:rPr>
          <w:rStyle w:val="Strong"/>
          <w:vertAlign w:val="superscript"/>
        </w:rPr>
        <w:br/>
      </w:r>
      <w:r>
        <w:rPr>
          <w:b w:val="0"/>
          <w:sz w:val="22"/>
          <w:szCs w:val="22"/>
        </w:rPr>
        <w:t>Department of Agriculture and Food Western Australia, South Perth</w:t>
      </w:r>
      <w:r w:rsidRPr="00715DB0">
        <w:rPr>
          <w:b w:val="0"/>
          <w:sz w:val="22"/>
          <w:szCs w:val="22"/>
          <w:vertAlign w:val="superscript"/>
        </w:rPr>
        <w:t>1</w:t>
      </w:r>
      <w:r>
        <w:rPr>
          <w:b w:val="0"/>
          <w:sz w:val="22"/>
          <w:szCs w:val="22"/>
        </w:rPr>
        <w:t xml:space="preserve">, </w:t>
      </w:r>
      <w:r w:rsidR="008E6869">
        <w:rPr>
          <w:b w:val="0"/>
          <w:sz w:val="22"/>
          <w:szCs w:val="22"/>
        </w:rPr>
        <w:t>Geraldton</w:t>
      </w:r>
      <w:r w:rsidR="008E6869">
        <w:rPr>
          <w:b w:val="0"/>
          <w:sz w:val="22"/>
          <w:szCs w:val="22"/>
          <w:vertAlign w:val="superscript"/>
        </w:rPr>
        <w:t>2</w:t>
      </w:r>
      <w:r>
        <w:rPr>
          <w:b w:val="0"/>
          <w:sz w:val="22"/>
          <w:szCs w:val="22"/>
        </w:rPr>
        <w:t>, Albany</w:t>
      </w:r>
      <w:r>
        <w:rPr>
          <w:b w:val="0"/>
          <w:sz w:val="22"/>
          <w:szCs w:val="22"/>
          <w:vertAlign w:val="superscript"/>
        </w:rPr>
        <w:t>3</w:t>
      </w:r>
      <w:r w:rsidR="008E6869">
        <w:rPr>
          <w:b w:val="0"/>
          <w:sz w:val="22"/>
          <w:szCs w:val="22"/>
        </w:rPr>
        <w:t>, Esperance</w:t>
      </w:r>
      <w:r w:rsidR="008E6869">
        <w:rPr>
          <w:b w:val="0"/>
          <w:sz w:val="22"/>
          <w:szCs w:val="22"/>
          <w:vertAlign w:val="superscript"/>
        </w:rPr>
        <w:t>4</w:t>
      </w:r>
    </w:p>
    <w:p w:rsidR="008C6588" w:rsidRPr="008F2638" w:rsidRDefault="008C6588" w:rsidP="008F2638">
      <w:pPr>
        <w:pStyle w:val="Heading2"/>
      </w:pPr>
      <w:r w:rsidRPr="008F2638">
        <w:t xml:space="preserve">Key </w:t>
      </w:r>
      <w:r w:rsidR="000D10A8" w:rsidRPr="008F2638">
        <w:t>m</w:t>
      </w:r>
      <w:r w:rsidRPr="008F2638">
        <w:t>essages</w:t>
      </w:r>
    </w:p>
    <w:p w:rsidR="005B5A77" w:rsidRPr="000F4E3E" w:rsidRDefault="005B5A77" w:rsidP="005B5A77">
      <w:pPr>
        <w:pStyle w:val="ListParagraph"/>
        <w:numPr>
          <w:ilvl w:val="0"/>
          <w:numId w:val="15"/>
        </w:numPr>
        <w:spacing w:after="0" w:line="240" w:lineRule="auto"/>
        <w:rPr>
          <w:rFonts w:cs="Arial"/>
          <w:szCs w:val="20"/>
        </w:rPr>
      </w:pPr>
      <w:r w:rsidRPr="000F4E3E">
        <w:rPr>
          <w:rFonts w:cs="Arial"/>
          <w:szCs w:val="20"/>
        </w:rPr>
        <w:t>S</w:t>
      </w:r>
      <w:r>
        <w:rPr>
          <w:rFonts w:cs="Arial"/>
          <w:szCs w:val="20"/>
        </w:rPr>
        <w:t>ystemic s</w:t>
      </w:r>
      <w:r w:rsidRPr="000F4E3E">
        <w:rPr>
          <w:rFonts w:cs="Arial"/>
          <w:szCs w:val="20"/>
        </w:rPr>
        <w:t xml:space="preserve">eed dressing or in-furrow fungicides are applied </w:t>
      </w:r>
      <w:r w:rsidR="001504E4">
        <w:rPr>
          <w:rFonts w:cs="Arial"/>
          <w:szCs w:val="20"/>
        </w:rPr>
        <w:t>preventatively</w:t>
      </w:r>
      <w:r w:rsidR="004D626F">
        <w:rPr>
          <w:rFonts w:cs="Arial"/>
          <w:szCs w:val="20"/>
        </w:rPr>
        <w:t xml:space="preserve"> </w:t>
      </w:r>
      <w:r w:rsidR="001504E4">
        <w:rPr>
          <w:rFonts w:cs="Arial"/>
          <w:szCs w:val="20"/>
        </w:rPr>
        <w:t>(</w:t>
      </w:r>
      <w:r w:rsidRPr="000F4E3E">
        <w:rPr>
          <w:rFonts w:cs="Arial"/>
          <w:szCs w:val="20"/>
        </w:rPr>
        <w:t>prophylactically</w:t>
      </w:r>
      <w:r w:rsidR="001504E4">
        <w:rPr>
          <w:rFonts w:cs="Arial"/>
          <w:szCs w:val="20"/>
        </w:rPr>
        <w:t>)</w:t>
      </w:r>
      <w:r w:rsidRPr="000F4E3E">
        <w:rPr>
          <w:rFonts w:cs="Arial"/>
          <w:szCs w:val="20"/>
        </w:rPr>
        <w:t xml:space="preserve"> to address </w:t>
      </w:r>
      <w:r>
        <w:rPr>
          <w:rFonts w:cs="Arial"/>
          <w:szCs w:val="20"/>
        </w:rPr>
        <w:t xml:space="preserve">potential </w:t>
      </w:r>
      <w:r w:rsidRPr="000F4E3E">
        <w:rPr>
          <w:rFonts w:cs="Arial"/>
          <w:szCs w:val="20"/>
        </w:rPr>
        <w:t>disease risk</w:t>
      </w:r>
      <w:r>
        <w:rPr>
          <w:rFonts w:cs="Arial"/>
          <w:szCs w:val="20"/>
        </w:rPr>
        <w:t xml:space="preserve">. They </w:t>
      </w:r>
      <w:r w:rsidRPr="00870563">
        <w:rPr>
          <w:rFonts w:cs="Arial"/>
          <w:szCs w:val="20"/>
        </w:rPr>
        <w:t>can delay</w:t>
      </w:r>
      <w:r>
        <w:rPr>
          <w:rFonts w:cs="Arial"/>
          <w:szCs w:val="20"/>
        </w:rPr>
        <w:t xml:space="preserve"> onset, reduce</w:t>
      </w:r>
      <w:r w:rsidRPr="00870563">
        <w:rPr>
          <w:rFonts w:cs="Arial"/>
          <w:szCs w:val="20"/>
        </w:rPr>
        <w:t xml:space="preserve"> </w:t>
      </w:r>
      <w:r>
        <w:rPr>
          <w:rFonts w:cs="Arial"/>
          <w:szCs w:val="20"/>
        </w:rPr>
        <w:t xml:space="preserve">severity </w:t>
      </w:r>
      <w:r w:rsidRPr="00870563">
        <w:rPr>
          <w:rFonts w:cs="Arial"/>
          <w:szCs w:val="20"/>
        </w:rPr>
        <w:t xml:space="preserve">or eliminate </w:t>
      </w:r>
      <w:r>
        <w:rPr>
          <w:rFonts w:cs="Arial"/>
          <w:szCs w:val="20"/>
        </w:rPr>
        <w:t>occurrence of disease often resulting in significant yield responses. I</w:t>
      </w:r>
      <w:r w:rsidRPr="00870563">
        <w:rPr>
          <w:rFonts w:cs="Arial"/>
          <w:szCs w:val="20"/>
        </w:rPr>
        <w:t xml:space="preserve">n the absence of disease </w:t>
      </w:r>
      <w:r>
        <w:rPr>
          <w:rFonts w:cs="Arial"/>
          <w:szCs w:val="20"/>
        </w:rPr>
        <w:t xml:space="preserve">however, they </w:t>
      </w:r>
      <w:r w:rsidRPr="00870563">
        <w:rPr>
          <w:rFonts w:cs="Arial"/>
          <w:szCs w:val="20"/>
        </w:rPr>
        <w:t>are unlikely to provide yield or economic benefit.</w:t>
      </w:r>
    </w:p>
    <w:p w:rsidR="00BF11F0" w:rsidRDefault="00F06781" w:rsidP="00F06781">
      <w:pPr>
        <w:pStyle w:val="ListParagraph"/>
        <w:numPr>
          <w:ilvl w:val="0"/>
          <w:numId w:val="15"/>
        </w:numPr>
        <w:spacing w:before="0" w:after="0" w:line="240" w:lineRule="auto"/>
        <w:rPr>
          <w:rFonts w:cs="Arial"/>
          <w:szCs w:val="20"/>
        </w:rPr>
      </w:pPr>
      <w:r w:rsidRPr="000F4E3E">
        <w:rPr>
          <w:rFonts w:cs="Arial"/>
          <w:szCs w:val="20"/>
        </w:rPr>
        <w:t xml:space="preserve">In four </w:t>
      </w:r>
      <w:r w:rsidR="00200AC8">
        <w:rPr>
          <w:rFonts w:cs="Arial"/>
          <w:szCs w:val="20"/>
        </w:rPr>
        <w:t xml:space="preserve">field </w:t>
      </w:r>
      <w:r w:rsidRPr="000F4E3E">
        <w:rPr>
          <w:rFonts w:cs="Arial"/>
          <w:szCs w:val="20"/>
        </w:rPr>
        <w:t>experiments in at-risk environment</w:t>
      </w:r>
      <w:r>
        <w:rPr>
          <w:rFonts w:cs="Arial"/>
          <w:szCs w:val="20"/>
        </w:rPr>
        <w:t>s</w:t>
      </w:r>
      <w:r w:rsidR="00200AC8">
        <w:rPr>
          <w:rFonts w:cs="Arial"/>
          <w:szCs w:val="20"/>
        </w:rPr>
        <w:t xml:space="preserve"> in 2016</w:t>
      </w:r>
      <w:r w:rsidRPr="000F4E3E">
        <w:rPr>
          <w:rFonts w:cs="Arial"/>
          <w:szCs w:val="20"/>
        </w:rPr>
        <w:t xml:space="preserve">, </w:t>
      </w:r>
      <w:r>
        <w:rPr>
          <w:rFonts w:cs="Arial"/>
          <w:szCs w:val="20"/>
        </w:rPr>
        <w:t xml:space="preserve">wheat </w:t>
      </w:r>
      <w:r w:rsidRPr="000F4E3E">
        <w:rPr>
          <w:rFonts w:cs="Arial"/>
          <w:szCs w:val="20"/>
        </w:rPr>
        <w:t xml:space="preserve">powdery mildew was evident </w:t>
      </w:r>
      <w:r>
        <w:rPr>
          <w:rFonts w:cs="Arial"/>
          <w:szCs w:val="20"/>
        </w:rPr>
        <w:t>at</w:t>
      </w:r>
      <w:r w:rsidRPr="000F4E3E">
        <w:rPr>
          <w:rFonts w:cs="Arial"/>
          <w:szCs w:val="20"/>
        </w:rPr>
        <w:t xml:space="preserve"> three sites and reached yield limiting </w:t>
      </w:r>
      <w:r w:rsidR="00AD1B3C">
        <w:rPr>
          <w:rFonts w:cs="Arial"/>
          <w:szCs w:val="20"/>
        </w:rPr>
        <w:t>severity</w:t>
      </w:r>
      <w:r w:rsidR="00AD1B3C" w:rsidRPr="000F4E3E">
        <w:rPr>
          <w:rFonts w:cs="Arial"/>
          <w:szCs w:val="20"/>
        </w:rPr>
        <w:t xml:space="preserve"> </w:t>
      </w:r>
      <w:r>
        <w:rPr>
          <w:rFonts w:cs="Arial"/>
          <w:szCs w:val="20"/>
        </w:rPr>
        <w:t>at</w:t>
      </w:r>
      <w:r w:rsidRPr="000F4E3E">
        <w:rPr>
          <w:rFonts w:cs="Arial"/>
          <w:szCs w:val="20"/>
        </w:rPr>
        <w:t xml:space="preserve"> one site</w:t>
      </w:r>
      <w:r w:rsidR="00BF11F0">
        <w:rPr>
          <w:rFonts w:cs="Arial"/>
          <w:szCs w:val="20"/>
        </w:rPr>
        <w:t xml:space="preserve">. </w:t>
      </w:r>
    </w:p>
    <w:p w:rsidR="00F06781" w:rsidRPr="000F4E3E" w:rsidRDefault="00200AC8" w:rsidP="00F06781">
      <w:pPr>
        <w:pStyle w:val="ListParagraph"/>
        <w:numPr>
          <w:ilvl w:val="0"/>
          <w:numId w:val="15"/>
        </w:numPr>
        <w:spacing w:before="0" w:after="0" w:line="240" w:lineRule="auto"/>
        <w:rPr>
          <w:rFonts w:cs="Arial"/>
          <w:szCs w:val="20"/>
        </w:rPr>
      </w:pPr>
      <w:r>
        <w:rPr>
          <w:rFonts w:cs="Arial"/>
          <w:szCs w:val="20"/>
        </w:rPr>
        <w:t>A</w:t>
      </w:r>
      <w:r w:rsidRPr="000F4E3E">
        <w:rPr>
          <w:rFonts w:cs="Arial"/>
          <w:szCs w:val="20"/>
        </w:rPr>
        <w:t>t two sites</w:t>
      </w:r>
      <w:r>
        <w:rPr>
          <w:rFonts w:cs="Arial"/>
          <w:szCs w:val="20"/>
        </w:rPr>
        <w:t xml:space="preserve"> where powdery mildew infection commenced during stem elongation, s</w:t>
      </w:r>
      <w:r w:rsidR="00BF11F0">
        <w:rPr>
          <w:rFonts w:cs="Arial"/>
          <w:szCs w:val="20"/>
        </w:rPr>
        <w:t xml:space="preserve">eed dressings containing </w:t>
      </w:r>
      <w:r w:rsidR="00BF11F0" w:rsidRPr="000F4E3E">
        <w:rPr>
          <w:rFonts w:cs="Arial"/>
          <w:szCs w:val="20"/>
        </w:rPr>
        <w:t xml:space="preserve">fluquinconazole, triadimenol </w:t>
      </w:r>
      <w:r>
        <w:rPr>
          <w:rFonts w:cs="Arial"/>
          <w:szCs w:val="20"/>
        </w:rPr>
        <w:t>or</w:t>
      </w:r>
      <w:r w:rsidR="00BF11F0" w:rsidRPr="000F4E3E">
        <w:rPr>
          <w:rFonts w:cs="Arial"/>
          <w:szCs w:val="20"/>
        </w:rPr>
        <w:t xml:space="preserve"> </w:t>
      </w:r>
      <w:r w:rsidR="00BF11F0">
        <w:rPr>
          <w:rFonts w:cs="Arial"/>
          <w:szCs w:val="20"/>
        </w:rPr>
        <w:t>f</w:t>
      </w:r>
      <w:r w:rsidR="00BF11F0" w:rsidRPr="000F4E3E">
        <w:rPr>
          <w:rFonts w:cs="Arial"/>
          <w:szCs w:val="20"/>
        </w:rPr>
        <w:t xml:space="preserve">luxapyroxad and in-furrow products </w:t>
      </w:r>
      <w:r w:rsidR="00BF11F0">
        <w:rPr>
          <w:rFonts w:cs="Arial"/>
          <w:szCs w:val="20"/>
        </w:rPr>
        <w:t xml:space="preserve">containing </w:t>
      </w:r>
      <w:r w:rsidR="00BF11F0" w:rsidRPr="000F4E3E">
        <w:rPr>
          <w:rFonts w:cs="Arial"/>
          <w:szCs w:val="20"/>
        </w:rPr>
        <w:t xml:space="preserve">flutriafol, triadimefon </w:t>
      </w:r>
      <w:r>
        <w:rPr>
          <w:rFonts w:cs="Arial"/>
          <w:szCs w:val="20"/>
        </w:rPr>
        <w:t>or</w:t>
      </w:r>
      <w:r w:rsidR="00BF11F0" w:rsidRPr="000F4E3E">
        <w:rPr>
          <w:rFonts w:cs="Arial"/>
          <w:szCs w:val="20"/>
        </w:rPr>
        <w:t xml:space="preserve"> azoxystrobin</w:t>
      </w:r>
      <w:r w:rsidR="00BF11F0">
        <w:rPr>
          <w:rFonts w:cs="Arial"/>
          <w:szCs w:val="20"/>
        </w:rPr>
        <w:t xml:space="preserve"> </w:t>
      </w:r>
      <w:r w:rsidR="00F06781" w:rsidRPr="000F4E3E">
        <w:rPr>
          <w:rFonts w:cs="Arial"/>
          <w:szCs w:val="20"/>
        </w:rPr>
        <w:t xml:space="preserve">had significant impact on disease severity </w:t>
      </w:r>
      <w:r w:rsidR="00BF11F0">
        <w:rPr>
          <w:rFonts w:cs="Arial"/>
          <w:szCs w:val="20"/>
        </w:rPr>
        <w:t>and</w:t>
      </w:r>
      <w:r w:rsidR="00F06781" w:rsidRPr="000F4E3E">
        <w:rPr>
          <w:rFonts w:cs="Arial"/>
          <w:szCs w:val="20"/>
        </w:rPr>
        <w:t xml:space="preserve"> incidence.</w:t>
      </w:r>
      <w:r w:rsidR="00BF11F0" w:rsidRPr="00BF11F0">
        <w:rPr>
          <w:rFonts w:cs="Arial"/>
          <w:szCs w:val="20"/>
        </w:rPr>
        <w:t xml:space="preserve"> </w:t>
      </w:r>
      <w:r w:rsidR="00BF11F0">
        <w:rPr>
          <w:rFonts w:cs="Arial"/>
          <w:szCs w:val="20"/>
        </w:rPr>
        <w:t>Product differences were evident between sites.</w:t>
      </w:r>
    </w:p>
    <w:p w:rsidR="00F06781" w:rsidRPr="000F4E3E" w:rsidRDefault="00BF11F0" w:rsidP="00F06781">
      <w:pPr>
        <w:pStyle w:val="ListParagraph"/>
        <w:numPr>
          <w:ilvl w:val="0"/>
          <w:numId w:val="15"/>
        </w:numPr>
        <w:spacing w:before="0" w:after="0" w:line="240" w:lineRule="auto"/>
        <w:rPr>
          <w:rFonts w:cs="Arial"/>
          <w:szCs w:val="20"/>
        </w:rPr>
      </w:pPr>
      <w:r>
        <w:rPr>
          <w:rFonts w:cs="Arial"/>
          <w:szCs w:val="20"/>
        </w:rPr>
        <w:t xml:space="preserve">At the one site where powdery mildew was yield limiting, in-furrow and foliar fungicide treatments gave </w:t>
      </w:r>
      <w:r w:rsidR="00E22F3F">
        <w:rPr>
          <w:rFonts w:cs="Arial"/>
          <w:szCs w:val="20"/>
        </w:rPr>
        <w:t xml:space="preserve">a </w:t>
      </w:r>
      <w:r>
        <w:rPr>
          <w:rFonts w:cs="Arial"/>
          <w:szCs w:val="20"/>
        </w:rPr>
        <w:t>significant yield response</w:t>
      </w:r>
      <w:r w:rsidR="00F93D6A">
        <w:rPr>
          <w:rFonts w:cs="Arial"/>
          <w:szCs w:val="20"/>
        </w:rPr>
        <w:t xml:space="preserve"> </w:t>
      </w:r>
      <w:r w:rsidR="00F06781" w:rsidRPr="000F4E3E">
        <w:rPr>
          <w:rFonts w:cs="Arial"/>
          <w:szCs w:val="20"/>
        </w:rPr>
        <w:t xml:space="preserve">in </w:t>
      </w:r>
      <w:r>
        <w:rPr>
          <w:rFonts w:cs="Arial"/>
          <w:szCs w:val="20"/>
        </w:rPr>
        <w:t xml:space="preserve">a </w:t>
      </w:r>
      <w:r w:rsidR="00F06781" w:rsidRPr="000F4E3E">
        <w:rPr>
          <w:rFonts w:cs="Arial"/>
          <w:szCs w:val="20"/>
        </w:rPr>
        <w:t>susceptible wheat</w:t>
      </w:r>
      <w:r w:rsidR="00F06781">
        <w:rPr>
          <w:rFonts w:cs="Arial"/>
          <w:szCs w:val="20"/>
        </w:rPr>
        <w:t xml:space="preserve"> </w:t>
      </w:r>
      <w:r>
        <w:rPr>
          <w:rFonts w:cs="Arial"/>
          <w:szCs w:val="20"/>
        </w:rPr>
        <w:t>variety</w:t>
      </w:r>
      <w:r w:rsidR="00F06781">
        <w:rPr>
          <w:rFonts w:cs="Arial"/>
          <w:szCs w:val="20"/>
        </w:rPr>
        <w:t xml:space="preserve">. </w:t>
      </w:r>
    </w:p>
    <w:p w:rsidR="00F06781" w:rsidRPr="000F4E3E" w:rsidRDefault="00F06781" w:rsidP="00F06781">
      <w:pPr>
        <w:pStyle w:val="ListParagraph"/>
        <w:numPr>
          <w:ilvl w:val="0"/>
          <w:numId w:val="15"/>
        </w:numPr>
        <w:spacing w:before="0" w:after="0" w:line="240" w:lineRule="auto"/>
        <w:rPr>
          <w:rFonts w:cs="Arial"/>
          <w:szCs w:val="20"/>
        </w:rPr>
      </w:pPr>
      <w:r w:rsidRPr="000F4E3E">
        <w:rPr>
          <w:rFonts w:cs="Arial"/>
          <w:szCs w:val="20"/>
        </w:rPr>
        <w:t>In three of four sites where disease severity was not yield limiting, neither foliar</w:t>
      </w:r>
      <w:r>
        <w:rPr>
          <w:rFonts w:cs="Arial"/>
          <w:szCs w:val="20"/>
        </w:rPr>
        <w:t xml:space="preserve">, seed dressing or in-furrow fungicides </w:t>
      </w:r>
      <w:r w:rsidRPr="000F4E3E">
        <w:rPr>
          <w:rFonts w:cs="Arial"/>
          <w:szCs w:val="20"/>
        </w:rPr>
        <w:t xml:space="preserve">provided a yield response and would not have </w:t>
      </w:r>
      <w:r w:rsidR="00F93D6A">
        <w:rPr>
          <w:rFonts w:cs="Arial"/>
          <w:szCs w:val="20"/>
        </w:rPr>
        <w:t>given</w:t>
      </w:r>
      <w:r w:rsidR="00F93D6A" w:rsidRPr="000F4E3E">
        <w:rPr>
          <w:rFonts w:cs="Arial"/>
          <w:szCs w:val="20"/>
        </w:rPr>
        <w:t xml:space="preserve"> </w:t>
      </w:r>
      <w:r w:rsidRPr="000F4E3E">
        <w:rPr>
          <w:rFonts w:cs="Arial"/>
          <w:szCs w:val="20"/>
        </w:rPr>
        <w:t xml:space="preserve">positive return on investment. </w:t>
      </w:r>
    </w:p>
    <w:p w:rsidR="00F06781" w:rsidRPr="00200AC8" w:rsidRDefault="00F06781" w:rsidP="00200AC8">
      <w:pPr>
        <w:spacing w:after="0" w:line="240" w:lineRule="auto"/>
        <w:ind w:left="360"/>
        <w:rPr>
          <w:rFonts w:cs="Arial"/>
          <w:szCs w:val="20"/>
        </w:rPr>
      </w:pPr>
    </w:p>
    <w:p w:rsidR="008E6869" w:rsidRPr="008F2638" w:rsidRDefault="008E6869" w:rsidP="008E6869">
      <w:pPr>
        <w:pStyle w:val="Heading2"/>
      </w:pPr>
      <w:r>
        <w:t>Background</w:t>
      </w:r>
      <w:r w:rsidR="00650031">
        <w:t xml:space="preserve"> and Aims</w:t>
      </w:r>
    </w:p>
    <w:p w:rsidR="00650031" w:rsidRDefault="00650031" w:rsidP="00650031">
      <w:r>
        <w:t xml:space="preserve">Powdery mildew </w:t>
      </w:r>
      <w:r w:rsidR="00AC35C3">
        <w:t xml:space="preserve">(PM) </w:t>
      </w:r>
      <w:r>
        <w:t xml:space="preserve">has become more prevalent in WA wheat crops in recent </w:t>
      </w:r>
      <w:r w:rsidR="00DF1C91">
        <w:t xml:space="preserve">years </w:t>
      </w:r>
      <w:r>
        <w:t xml:space="preserve">and was particularly </w:t>
      </w:r>
      <w:r>
        <w:rPr>
          <w:rFonts w:cs="Arial"/>
        </w:rPr>
        <w:t xml:space="preserve">widespread and damaging in several regions in 2015. </w:t>
      </w:r>
      <w:r w:rsidR="00054E7F">
        <w:rPr>
          <w:rFonts w:cs="Arial"/>
        </w:rPr>
        <w:t xml:space="preserve"> A major concern for wheat producers is the susceptibility of several popular varieties</w:t>
      </w:r>
      <w:r w:rsidR="002E6C55">
        <w:rPr>
          <w:rFonts w:cs="Arial"/>
        </w:rPr>
        <w:t>,</w:t>
      </w:r>
      <w:r w:rsidR="00054E7F">
        <w:rPr>
          <w:rFonts w:cs="Arial"/>
        </w:rPr>
        <w:t xml:space="preserve"> the time of onset of disease requiring early intervention in the cropping season and subsequent concerns over requirements for multiple foliar applications. </w:t>
      </w:r>
      <w:r>
        <w:rPr>
          <w:rFonts w:cs="Arial"/>
        </w:rPr>
        <w:t>Trial results from 2015 (Beard</w:t>
      </w:r>
      <w:r w:rsidR="00031DD2">
        <w:rPr>
          <w:rFonts w:cs="Arial"/>
        </w:rPr>
        <w:t xml:space="preserve"> et al,</w:t>
      </w:r>
      <w:r>
        <w:rPr>
          <w:rFonts w:cs="Arial"/>
        </w:rPr>
        <w:t xml:space="preserve"> 2016) clearly indicate that foliar fungicides can provide effective disease control and subsequent economic returns through </w:t>
      </w:r>
      <w:r w:rsidR="00DF1C91">
        <w:rPr>
          <w:rFonts w:cs="Arial"/>
        </w:rPr>
        <w:t xml:space="preserve">reducing </w:t>
      </w:r>
      <w:r>
        <w:rPr>
          <w:rFonts w:cs="Arial"/>
        </w:rPr>
        <w:t>yield</w:t>
      </w:r>
      <w:r w:rsidR="00DF1C91">
        <w:rPr>
          <w:rFonts w:cs="Arial"/>
        </w:rPr>
        <w:t xml:space="preserve"> loss</w:t>
      </w:r>
      <w:r>
        <w:rPr>
          <w:rFonts w:cs="Arial"/>
        </w:rPr>
        <w:t>. Anecdotal reports from 2015 indicated that some systemic seed and fertiliser applied fungicides</w:t>
      </w:r>
      <w:r w:rsidR="000650D3">
        <w:rPr>
          <w:rFonts w:cs="Arial"/>
        </w:rPr>
        <w:t>,</w:t>
      </w:r>
      <w:r>
        <w:rPr>
          <w:rFonts w:cs="Arial"/>
        </w:rPr>
        <w:t xml:space="preserve"> registered in wheat </w:t>
      </w:r>
      <w:r w:rsidR="000650D3">
        <w:rPr>
          <w:rFonts w:cs="Arial"/>
        </w:rPr>
        <w:t>for a range of</w:t>
      </w:r>
      <w:r>
        <w:rPr>
          <w:rFonts w:cs="Arial"/>
        </w:rPr>
        <w:t xml:space="preserve"> fungal diseases</w:t>
      </w:r>
      <w:r w:rsidR="000650D3">
        <w:rPr>
          <w:rFonts w:cs="Arial"/>
        </w:rPr>
        <w:t>,</w:t>
      </w:r>
      <w:r>
        <w:rPr>
          <w:rFonts w:cs="Arial"/>
        </w:rPr>
        <w:t xml:space="preserve"> were delaying the onset of wheat </w:t>
      </w:r>
      <w:r w:rsidR="002B26A9">
        <w:rPr>
          <w:rFonts w:cs="Arial"/>
        </w:rPr>
        <w:t xml:space="preserve">powdery </w:t>
      </w:r>
      <w:r>
        <w:rPr>
          <w:rFonts w:cs="Arial"/>
        </w:rPr>
        <w:t xml:space="preserve">mildew. This paper describes results from trials at a range of locations, investigating </w:t>
      </w:r>
      <w:r w:rsidR="00AC35C3">
        <w:rPr>
          <w:rFonts w:cs="Arial"/>
        </w:rPr>
        <w:t xml:space="preserve">the efficacy of </w:t>
      </w:r>
      <w:r>
        <w:t>seed dressing and fertiliser applied fungicides on the time of onset, rate of development and yield impact of wheat powdery mildew.</w:t>
      </w:r>
    </w:p>
    <w:p w:rsidR="008C6588" w:rsidRDefault="003B6DA6" w:rsidP="008F2638">
      <w:pPr>
        <w:pStyle w:val="Heading2"/>
      </w:pPr>
      <w:r w:rsidRPr="008F2638">
        <w:t>M</w:t>
      </w:r>
      <w:r w:rsidR="008C6588" w:rsidRPr="008F2638">
        <w:t>ethod</w:t>
      </w:r>
    </w:p>
    <w:p w:rsidR="002968C1" w:rsidRPr="00740689" w:rsidRDefault="00FD092D" w:rsidP="00715DB0">
      <w:pPr>
        <w:rPr>
          <w:rFonts w:cs="Arial"/>
          <w:szCs w:val="20"/>
        </w:rPr>
      </w:pPr>
      <w:r w:rsidRPr="00740689">
        <w:rPr>
          <w:rFonts w:cs="Arial"/>
          <w:szCs w:val="20"/>
        </w:rPr>
        <w:t xml:space="preserve">Field trials </w:t>
      </w:r>
      <w:r w:rsidR="006263E6" w:rsidRPr="00740689">
        <w:rPr>
          <w:rFonts w:cs="Arial"/>
          <w:szCs w:val="20"/>
        </w:rPr>
        <w:t xml:space="preserve">established </w:t>
      </w:r>
      <w:r w:rsidRPr="00740689">
        <w:rPr>
          <w:rFonts w:cs="Arial"/>
          <w:szCs w:val="20"/>
        </w:rPr>
        <w:t xml:space="preserve">at </w:t>
      </w:r>
      <w:r w:rsidR="00650031" w:rsidRPr="00740689">
        <w:rPr>
          <w:rFonts w:cs="Arial"/>
          <w:szCs w:val="20"/>
        </w:rPr>
        <w:t>five</w:t>
      </w:r>
      <w:r w:rsidRPr="00740689">
        <w:rPr>
          <w:rFonts w:cs="Arial"/>
          <w:szCs w:val="20"/>
        </w:rPr>
        <w:t xml:space="preserve"> sites </w:t>
      </w:r>
      <w:r w:rsidR="00112D5D">
        <w:rPr>
          <w:rFonts w:cs="Arial"/>
          <w:szCs w:val="20"/>
        </w:rPr>
        <w:t xml:space="preserve">in 2016 </w:t>
      </w:r>
      <w:r w:rsidRPr="00740689">
        <w:rPr>
          <w:rFonts w:cs="Arial"/>
          <w:szCs w:val="20"/>
        </w:rPr>
        <w:t xml:space="preserve">were designed to evaluate the </w:t>
      </w:r>
      <w:r w:rsidR="00650031" w:rsidRPr="00740689">
        <w:rPr>
          <w:rFonts w:cs="Arial"/>
          <w:szCs w:val="20"/>
        </w:rPr>
        <w:t>efficacy</w:t>
      </w:r>
      <w:r w:rsidRPr="00740689">
        <w:rPr>
          <w:rFonts w:cs="Arial"/>
          <w:szCs w:val="20"/>
        </w:rPr>
        <w:t xml:space="preserve"> of seed, </w:t>
      </w:r>
      <w:r w:rsidR="006263E6" w:rsidRPr="00740689">
        <w:rPr>
          <w:rFonts w:cs="Arial"/>
          <w:szCs w:val="20"/>
        </w:rPr>
        <w:t>fertiliser</w:t>
      </w:r>
      <w:r w:rsidRPr="00740689">
        <w:rPr>
          <w:rFonts w:cs="Arial"/>
          <w:szCs w:val="20"/>
        </w:rPr>
        <w:t xml:space="preserve"> and foliar </w:t>
      </w:r>
      <w:r w:rsidR="006263E6" w:rsidRPr="00740689">
        <w:rPr>
          <w:rFonts w:cs="Arial"/>
          <w:szCs w:val="20"/>
        </w:rPr>
        <w:t xml:space="preserve">applied </w:t>
      </w:r>
      <w:r w:rsidRPr="00740689">
        <w:rPr>
          <w:rFonts w:cs="Arial"/>
          <w:szCs w:val="20"/>
        </w:rPr>
        <w:t>fungicide on the severi</w:t>
      </w:r>
      <w:r w:rsidR="00F74551" w:rsidRPr="00740689">
        <w:rPr>
          <w:rFonts w:cs="Arial"/>
          <w:szCs w:val="20"/>
        </w:rPr>
        <w:t xml:space="preserve">ty and yield impact of </w:t>
      </w:r>
      <w:r w:rsidR="00650031" w:rsidRPr="00740689">
        <w:rPr>
          <w:rFonts w:cs="Arial"/>
          <w:szCs w:val="20"/>
        </w:rPr>
        <w:t xml:space="preserve">wheat foliar diseases including </w:t>
      </w:r>
      <w:r w:rsidR="003B08D9">
        <w:rPr>
          <w:rFonts w:cs="Arial"/>
          <w:szCs w:val="20"/>
        </w:rPr>
        <w:t>PM</w:t>
      </w:r>
      <w:r w:rsidR="00650031" w:rsidRPr="00740689">
        <w:rPr>
          <w:rFonts w:cs="Arial"/>
          <w:szCs w:val="20"/>
        </w:rPr>
        <w:t xml:space="preserve">. Sites were established </w:t>
      </w:r>
      <w:r w:rsidR="00112D5D">
        <w:rPr>
          <w:rFonts w:cs="Arial"/>
          <w:szCs w:val="20"/>
        </w:rPr>
        <w:t xml:space="preserve">with susceptible varieties </w:t>
      </w:r>
      <w:r w:rsidR="00650031" w:rsidRPr="00740689">
        <w:rPr>
          <w:rFonts w:cs="Arial"/>
          <w:szCs w:val="20"/>
        </w:rPr>
        <w:t>at</w:t>
      </w:r>
      <w:r w:rsidR="004A2DFD" w:rsidRPr="00740689">
        <w:rPr>
          <w:rFonts w:cs="Arial"/>
          <w:szCs w:val="20"/>
        </w:rPr>
        <w:t xml:space="preserve">: </w:t>
      </w:r>
      <w:r w:rsidR="00650031" w:rsidRPr="00740689">
        <w:rPr>
          <w:rFonts w:cs="Arial"/>
          <w:szCs w:val="20"/>
        </w:rPr>
        <w:t>Geraldton</w:t>
      </w:r>
      <w:r w:rsidR="002F73E8" w:rsidRPr="00740689">
        <w:rPr>
          <w:rFonts w:cs="Arial"/>
          <w:szCs w:val="20"/>
        </w:rPr>
        <w:t xml:space="preserve"> </w:t>
      </w:r>
      <w:r w:rsidR="00F74551" w:rsidRPr="00740689">
        <w:rPr>
          <w:rFonts w:cs="Arial"/>
          <w:szCs w:val="20"/>
        </w:rPr>
        <w:t>(</w:t>
      </w:r>
      <w:r w:rsidR="00650031" w:rsidRPr="00740689">
        <w:rPr>
          <w:rFonts w:cs="Arial"/>
          <w:szCs w:val="20"/>
        </w:rPr>
        <w:t>Wyalkatchem</w:t>
      </w:r>
      <w:r w:rsidR="00F74551" w:rsidRPr="00740689">
        <w:rPr>
          <w:rFonts w:cs="Arial"/>
          <w:noProof/>
          <w:szCs w:val="20"/>
          <w:lang w:eastAsia="en-AU"/>
        </w:rPr>
        <w:drawing>
          <wp:inline distT="0" distB="0" distL="0" distR="0" wp14:anchorId="51ABBFA9" wp14:editId="44E49F98">
            <wp:extent cx="83077" cy="108000"/>
            <wp:effectExtent l="0" t="0" r="0" b="6350"/>
            <wp:docPr id="6" name="Picture 6"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00F74551" w:rsidRPr="00740689">
        <w:rPr>
          <w:rFonts w:cs="Arial"/>
          <w:szCs w:val="20"/>
        </w:rPr>
        <w:t xml:space="preserve">), </w:t>
      </w:r>
      <w:r w:rsidR="00650031" w:rsidRPr="00740689">
        <w:rPr>
          <w:rFonts w:cs="Arial"/>
          <w:szCs w:val="20"/>
        </w:rPr>
        <w:t>Dalwallinu</w:t>
      </w:r>
      <w:r w:rsidR="00F74551" w:rsidRPr="00740689">
        <w:rPr>
          <w:rFonts w:cs="Arial"/>
          <w:szCs w:val="20"/>
        </w:rPr>
        <w:t xml:space="preserve"> (</w:t>
      </w:r>
      <w:r w:rsidR="00650031" w:rsidRPr="00740689">
        <w:rPr>
          <w:rFonts w:cs="Arial"/>
          <w:szCs w:val="20"/>
        </w:rPr>
        <w:t>Corack</w:t>
      </w:r>
      <w:r w:rsidR="00F74551" w:rsidRPr="00740689">
        <w:rPr>
          <w:rFonts w:cs="Arial"/>
          <w:noProof/>
          <w:szCs w:val="20"/>
          <w:lang w:eastAsia="en-AU"/>
        </w:rPr>
        <w:drawing>
          <wp:inline distT="0" distB="0" distL="0" distR="0" wp14:anchorId="11CB64F6" wp14:editId="42ECE392">
            <wp:extent cx="83077" cy="108000"/>
            <wp:effectExtent l="0" t="0" r="0" b="6350"/>
            <wp:docPr id="4" name="Picture 4"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00650031" w:rsidRPr="00740689">
        <w:rPr>
          <w:rFonts w:cs="Arial"/>
          <w:szCs w:val="20"/>
        </w:rPr>
        <w:t xml:space="preserve">), </w:t>
      </w:r>
      <w:r w:rsidR="00740689" w:rsidRPr="00740689">
        <w:rPr>
          <w:rFonts w:cs="Arial"/>
          <w:szCs w:val="20"/>
        </w:rPr>
        <w:t>Moora (Corack</w:t>
      </w:r>
      <w:r w:rsidR="00740689" w:rsidRPr="00740689">
        <w:rPr>
          <w:rFonts w:cs="Arial"/>
          <w:noProof/>
          <w:szCs w:val="20"/>
          <w:lang w:eastAsia="en-AU"/>
        </w:rPr>
        <w:drawing>
          <wp:inline distT="0" distB="0" distL="0" distR="0" wp14:anchorId="14E32658" wp14:editId="6942AA53">
            <wp:extent cx="83077" cy="108000"/>
            <wp:effectExtent l="0" t="0" r="0" b="6350"/>
            <wp:docPr id="15" name="Picture 15"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00740689" w:rsidRPr="00740689">
        <w:rPr>
          <w:rFonts w:cs="Arial"/>
          <w:szCs w:val="20"/>
        </w:rPr>
        <w:t>), Tambellup (Mace</w:t>
      </w:r>
      <w:r w:rsidR="00F74551" w:rsidRPr="00740689">
        <w:rPr>
          <w:rFonts w:cs="Arial"/>
          <w:noProof/>
          <w:szCs w:val="20"/>
          <w:lang w:eastAsia="en-AU"/>
        </w:rPr>
        <w:drawing>
          <wp:inline distT="0" distB="0" distL="0" distR="0" wp14:anchorId="3D8D205F" wp14:editId="6A1FBDC4">
            <wp:extent cx="83077" cy="108000"/>
            <wp:effectExtent l="0" t="0" r="0" b="6350"/>
            <wp:docPr id="7" name="Picture 7"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00F74551" w:rsidRPr="00740689">
        <w:rPr>
          <w:rFonts w:cs="Arial"/>
          <w:szCs w:val="20"/>
        </w:rPr>
        <w:t>)</w:t>
      </w:r>
      <w:r w:rsidR="00740689" w:rsidRPr="00740689">
        <w:rPr>
          <w:rFonts w:cs="Arial"/>
          <w:szCs w:val="20"/>
        </w:rPr>
        <w:t xml:space="preserve"> and Gibson (Sceptre</w:t>
      </w:r>
      <w:r w:rsidR="00F74551" w:rsidRPr="00740689">
        <w:rPr>
          <w:rFonts w:cs="Arial"/>
          <w:noProof/>
          <w:szCs w:val="20"/>
          <w:lang w:eastAsia="en-AU"/>
        </w:rPr>
        <w:drawing>
          <wp:inline distT="0" distB="0" distL="0" distR="0" wp14:anchorId="5EBFFF90" wp14:editId="06BC1EB8">
            <wp:extent cx="83077" cy="108000"/>
            <wp:effectExtent l="0" t="0" r="0" b="6350"/>
            <wp:docPr id="8" name="Picture 8"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00740689" w:rsidRPr="00740689">
        <w:rPr>
          <w:rFonts w:cs="Arial"/>
          <w:szCs w:val="20"/>
        </w:rPr>
        <w:t xml:space="preserve">). The </w:t>
      </w:r>
      <w:r w:rsidR="002E6C55">
        <w:rPr>
          <w:rFonts w:cs="Arial"/>
          <w:szCs w:val="20"/>
        </w:rPr>
        <w:t>Gibson</w:t>
      </w:r>
      <w:r w:rsidR="002E6C55" w:rsidRPr="00740689">
        <w:rPr>
          <w:rFonts w:cs="Arial"/>
          <w:szCs w:val="20"/>
        </w:rPr>
        <w:t xml:space="preserve"> </w:t>
      </w:r>
      <w:r w:rsidR="00740689" w:rsidRPr="00740689">
        <w:rPr>
          <w:rFonts w:cs="Arial"/>
          <w:szCs w:val="20"/>
        </w:rPr>
        <w:t xml:space="preserve">site was abandoned due to waterlogging. </w:t>
      </w:r>
      <w:r w:rsidR="00CA1567">
        <w:rPr>
          <w:rFonts w:cs="Arial"/>
          <w:szCs w:val="20"/>
        </w:rPr>
        <w:t xml:space="preserve">Dalwallinu, </w:t>
      </w:r>
      <w:r w:rsidR="005D311D">
        <w:rPr>
          <w:rFonts w:cs="Arial"/>
          <w:szCs w:val="20"/>
        </w:rPr>
        <w:t xml:space="preserve">Tambellup and Moora </w:t>
      </w:r>
      <w:r w:rsidR="002E6C55">
        <w:rPr>
          <w:rFonts w:cs="Arial"/>
          <w:szCs w:val="20"/>
        </w:rPr>
        <w:t xml:space="preserve">sites </w:t>
      </w:r>
      <w:r w:rsidR="005D311D">
        <w:rPr>
          <w:rFonts w:cs="Arial"/>
          <w:szCs w:val="20"/>
        </w:rPr>
        <w:t xml:space="preserve">were established on canola or lupin stubbles while </w:t>
      </w:r>
      <w:r w:rsidR="002E6C55">
        <w:rPr>
          <w:rFonts w:cs="Arial"/>
          <w:szCs w:val="20"/>
        </w:rPr>
        <w:t xml:space="preserve">the </w:t>
      </w:r>
      <w:r w:rsidR="005D311D">
        <w:rPr>
          <w:rFonts w:cs="Arial"/>
          <w:szCs w:val="20"/>
        </w:rPr>
        <w:t xml:space="preserve">Geraldton </w:t>
      </w:r>
      <w:r w:rsidR="002E6C55">
        <w:rPr>
          <w:rFonts w:cs="Arial"/>
          <w:szCs w:val="20"/>
        </w:rPr>
        <w:t xml:space="preserve">site </w:t>
      </w:r>
      <w:r w:rsidR="005D311D">
        <w:rPr>
          <w:rFonts w:cs="Arial"/>
          <w:szCs w:val="20"/>
        </w:rPr>
        <w:t xml:space="preserve">was established on wheat stubble from a </w:t>
      </w:r>
      <w:r w:rsidR="003B08D9">
        <w:rPr>
          <w:rFonts w:cs="Arial"/>
          <w:szCs w:val="20"/>
        </w:rPr>
        <w:t>PM infected</w:t>
      </w:r>
      <w:r w:rsidR="005D311D">
        <w:rPr>
          <w:rFonts w:cs="Arial"/>
          <w:szCs w:val="20"/>
        </w:rPr>
        <w:t xml:space="preserve"> crop in 2015.</w:t>
      </w:r>
      <w:r w:rsidR="004C6D11" w:rsidRPr="004C6D11">
        <w:rPr>
          <w:szCs w:val="20"/>
        </w:rPr>
        <w:t xml:space="preserve"> </w:t>
      </w:r>
      <w:r w:rsidR="004C6D11">
        <w:rPr>
          <w:szCs w:val="20"/>
        </w:rPr>
        <w:t>All sites were sown into moist soil between 4</w:t>
      </w:r>
      <w:r w:rsidR="004C6D11" w:rsidRPr="00485BF3">
        <w:rPr>
          <w:szCs w:val="20"/>
          <w:vertAlign w:val="superscript"/>
        </w:rPr>
        <w:t>th</w:t>
      </w:r>
      <w:r w:rsidR="004C6D11">
        <w:rPr>
          <w:szCs w:val="20"/>
        </w:rPr>
        <w:t xml:space="preserve"> and 11</w:t>
      </w:r>
      <w:r w:rsidR="004C6D11" w:rsidRPr="00485BF3">
        <w:rPr>
          <w:szCs w:val="20"/>
          <w:vertAlign w:val="superscript"/>
        </w:rPr>
        <w:t>th</w:t>
      </w:r>
      <w:r w:rsidR="004C6D11">
        <w:rPr>
          <w:szCs w:val="20"/>
        </w:rPr>
        <w:t xml:space="preserve"> May.</w:t>
      </w:r>
      <w:r w:rsidR="005D311D">
        <w:rPr>
          <w:rFonts w:cs="Arial"/>
          <w:szCs w:val="20"/>
        </w:rPr>
        <w:br/>
      </w:r>
      <w:r w:rsidR="004A2DFD" w:rsidRPr="00740689">
        <w:rPr>
          <w:rFonts w:cs="Arial"/>
          <w:szCs w:val="20"/>
        </w:rPr>
        <w:t>Fungicide p</w:t>
      </w:r>
      <w:r w:rsidR="002968C1" w:rsidRPr="00740689">
        <w:rPr>
          <w:rFonts w:cs="Arial"/>
          <w:szCs w:val="20"/>
        </w:rPr>
        <w:t xml:space="preserve">roducts reported in this paper include; </w:t>
      </w:r>
      <w:r w:rsidR="003B08D9">
        <w:rPr>
          <w:rFonts w:cs="Arial"/>
          <w:szCs w:val="20"/>
        </w:rPr>
        <w:t xml:space="preserve">seed dressings </w:t>
      </w:r>
      <w:r w:rsidR="00855DB8">
        <w:rPr>
          <w:rFonts w:cs="Arial"/>
          <w:szCs w:val="20"/>
        </w:rPr>
        <w:t>fluxapyroxad (</w:t>
      </w:r>
      <w:r w:rsidR="002968C1" w:rsidRPr="00740689">
        <w:rPr>
          <w:rFonts w:cs="Arial"/>
          <w:szCs w:val="20"/>
        </w:rPr>
        <w:t>Systiva</w:t>
      </w:r>
      <w:r w:rsidR="002968C1" w:rsidRPr="002B26A9">
        <w:rPr>
          <w:rFonts w:cs="Arial"/>
          <w:szCs w:val="20"/>
          <w:vertAlign w:val="superscript"/>
        </w:rPr>
        <w:t>®</w:t>
      </w:r>
      <w:r w:rsidR="00855DB8">
        <w:rPr>
          <w:rFonts w:cs="Arial"/>
          <w:szCs w:val="20"/>
        </w:rPr>
        <w:t xml:space="preserve"> </w:t>
      </w:r>
      <w:r w:rsidR="002968C1" w:rsidRPr="00740689">
        <w:rPr>
          <w:rFonts w:cs="Arial"/>
          <w:szCs w:val="20"/>
        </w:rPr>
        <w:t xml:space="preserve">150mL/100kg seed), </w:t>
      </w:r>
      <w:r w:rsidR="00855DB8">
        <w:rPr>
          <w:rFonts w:cs="Arial"/>
          <w:szCs w:val="20"/>
        </w:rPr>
        <w:t>triadimenol (</w:t>
      </w:r>
      <w:r w:rsidR="00740689" w:rsidRPr="00740689">
        <w:rPr>
          <w:rFonts w:cs="Arial"/>
          <w:szCs w:val="20"/>
        </w:rPr>
        <w:t>Baytan</w:t>
      </w:r>
      <w:r w:rsidR="00357E03">
        <w:rPr>
          <w:rFonts w:cs="Arial"/>
          <w:szCs w:val="20"/>
        </w:rPr>
        <w:t xml:space="preserve"> </w:t>
      </w:r>
      <w:r w:rsidR="00740689" w:rsidRPr="00740689">
        <w:rPr>
          <w:rFonts w:cs="Arial"/>
          <w:szCs w:val="20"/>
        </w:rPr>
        <w:t>T</w:t>
      </w:r>
      <w:r w:rsidR="00740689" w:rsidRPr="002B26A9">
        <w:rPr>
          <w:rFonts w:cs="Arial"/>
          <w:szCs w:val="20"/>
          <w:vertAlign w:val="superscript"/>
        </w:rPr>
        <w:t xml:space="preserve">® </w:t>
      </w:r>
      <w:r w:rsidR="00740689" w:rsidRPr="00740689">
        <w:rPr>
          <w:rFonts w:cs="Arial"/>
          <w:szCs w:val="20"/>
        </w:rPr>
        <w:t xml:space="preserve">150mL/100kg seed), </w:t>
      </w:r>
      <w:proofErr w:type="spellStart"/>
      <w:r w:rsidR="00855DB8">
        <w:rPr>
          <w:rFonts w:cs="Arial"/>
          <w:szCs w:val="20"/>
        </w:rPr>
        <w:t>fluquinconazole</w:t>
      </w:r>
      <w:proofErr w:type="spellEnd"/>
      <w:r w:rsidR="00855DB8">
        <w:rPr>
          <w:rFonts w:cs="Arial"/>
          <w:szCs w:val="20"/>
        </w:rPr>
        <w:t xml:space="preserve"> (</w:t>
      </w:r>
      <w:r w:rsidR="00740689" w:rsidRPr="00740689">
        <w:rPr>
          <w:rFonts w:cs="Arial"/>
        </w:rPr>
        <w:t>Jockey Stayer</w:t>
      </w:r>
      <w:r w:rsidR="00740689" w:rsidRPr="002B26A9">
        <w:rPr>
          <w:rFonts w:cs="Arial"/>
          <w:vertAlign w:val="superscript"/>
        </w:rPr>
        <w:t>®</w:t>
      </w:r>
      <w:r w:rsidR="00740689" w:rsidRPr="00740689">
        <w:rPr>
          <w:rFonts w:cs="Arial"/>
        </w:rPr>
        <w:t xml:space="preserve"> </w:t>
      </w:r>
      <w:r w:rsidR="00AD1B3C">
        <w:rPr>
          <w:rFonts w:cs="Arial"/>
        </w:rPr>
        <w:t>450</w:t>
      </w:r>
      <w:r w:rsidR="003B08D9">
        <w:rPr>
          <w:rFonts w:cs="Arial"/>
        </w:rPr>
        <w:t>mL/100kg seed)</w:t>
      </w:r>
      <w:r w:rsidR="004D626F">
        <w:rPr>
          <w:rFonts w:cs="Arial"/>
        </w:rPr>
        <w:t>; in-furrow</w:t>
      </w:r>
      <w:r w:rsidR="004D626F" w:rsidRPr="00740689">
        <w:rPr>
          <w:rFonts w:cs="Arial"/>
        </w:rPr>
        <w:t xml:space="preserve"> </w:t>
      </w:r>
      <w:r w:rsidR="003B08D9" w:rsidRPr="00740689">
        <w:rPr>
          <w:rFonts w:cs="Arial"/>
          <w:szCs w:val="20"/>
        </w:rPr>
        <w:t>coated on granular fertiliser</w:t>
      </w:r>
      <w:r w:rsidR="003B08D9">
        <w:rPr>
          <w:rFonts w:cs="Arial"/>
        </w:rPr>
        <w:t xml:space="preserve"> </w:t>
      </w:r>
      <w:r w:rsidR="00855DB8">
        <w:rPr>
          <w:rFonts w:cs="Arial"/>
        </w:rPr>
        <w:t>flutriafol (</w:t>
      </w:r>
      <w:r w:rsidR="00740689" w:rsidRPr="00740689">
        <w:rPr>
          <w:rFonts w:cs="Arial"/>
        </w:rPr>
        <w:t xml:space="preserve">Flutriafol </w:t>
      </w:r>
      <w:r w:rsidR="00740689">
        <w:rPr>
          <w:rFonts w:cs="Arial"/>
        </w:rPr>
        <w:t>25</w:t>
      </w:r>
      <w:r w:rsidR="00740689" w:rsidRPr="00740689">
        <w:rPr>
          <w:rFonts w:cs="Arial"/>
        </w:rPr>
        <w:t>0</w:t>
      </w:r>
      <w:r w:rsidR="00740689" w:rsidRPr="002B26A9">
        <w:rPr>
          <w:rFonts w:cs="Arial"/>
          <w:vertAlign w:val="superscript"/>
        </w:rPr>
        <w:t>®</w:t>
      </w:r>
      <w:r w:rsidR="00740689" w:rsidRPr="00740689">
        <w:rPr>
          <w:rFonts w:cs="Arial"/>
        </w:rPr>
        <w:t xml:space="preserve"> </w:t>
      </w:r>
      <w:r w:rsidR="00740689">
        <w:rPr>
          <w:rFonts w:cs="Arial"/>
        </w:rPr>
        <w:t>4</w:t>
      </w:r>
      <w:r w:rsidR="00740689" w:rsidRPr="00740689">
        <w:rPr>
          <w:rFonts w:cs="Arial"/>
        </w:rPr>
        <w:t>00mL/ha)</w:t>
      </w:r>
      <w:r w:rsidR="00740689">
        <w:rPr>
          <w:rFonts w:cs="Arial"/>
          <w:szCs w:val="20"/>
        </w:rPr>
        <w:t>,</w:t>
      </w:r>
      <w:r w:rsidR="00740689" w:rsidRPr="00740689">
        <w:rPr>
          <w:rFonts w:cs="Arial"/>
          <w:szCs w:val="20"/>
        </w:rPr>
        <w:t xml:space="preserve"> </w:t>
      </w:r>
      <w:r w:rsidR="00855DB8">
        <w:rPr>
          <w:rFonts w:cs="Arial"/>
          <w:szCs w:val="20"/>
        </w:rPr>
        <w:t>azoxystrobin + metalaxyl</w:t>
      </w:r>
      <w:r w:rsidR="00EA2583">
        <w:rPr>
          <w:rFonts w:cs="Arial"/>
          <w:szCs w:val="20"/>
        </w:rPr>
        <w:t>-M</w:t>
      </w:r>
      <w:r w:rsidR="00855DB8">
        <w:rPr>
          <w:rFonts w:cs="Arial"/>
          <w:szCs w:val="20"/>
        </w:rPr>
        <w:t xml:space="preserve"> (</w:t>
      </w:r>
      <w:r w:rsidR="002968C1" w:rsidRPr="00740689">
        <w:rPr>
          <w:rFonts w:cs="Arial"/>
          <w:szCs w:val="20"/>
        </w:rPr>
        <w:t>Uniform</w:t>
      </w:r>
      <w:r w:rsidR="002968C1" w:rsidRPr="002B26A9">
        <w:rPr>
          <w:rFonts w:cs="Arial"/>
          <w:szCs w:val="20"/>
          <w:vertAlign w:val="superscript"/>
        </w:rPr>
        <w:t>®</w:t>
      </w:r>
      <w:r w:rsidR="002968C1" w:rsidRPr="00740689">
        <w:rPr>
          <w:rFonts w:cs="Arial"/>
          <w:szCs w:val="20"/>
        </w:rPr>
        <w:t xml:space="preserve"> 400mL/ha), </w:t>
      </w:r>
      <w:r w:rsidR="00855DB8">
        <w:rPr>
          <w:rFonts w:cs="Arial"/>
          <w:szCs w:val="20"/>
        </w:rPr>
        <w:t>t</w:t>
      </w:r>
      <w:r w:rsidR="00855DB8" w:rsidRPr="00740689">
        <w:rPr>
          <w:rFonts w:cs="Arial"/>
        </w:rPr>
        <w:t xml:space="preserve">riadimefon </w:t>
      </w:r>
      <w:r w:rsidR="00855DB8">
        <w:rPr>
          <w:rFonts w:cs="Arial"/>
        </w:rPr>
        <w:t>(</w:t>
      </w:r>
      <w:r w:rsidR="00740689" w:rsidRPr="00740689">
        <w:rPr>
          <w:rFonts w:cs="Arial"/>
        </w:rPr>
        <w:t>Triadimefon 500 Dry</w:t>
      </w:r>
      <w:r w:rsidR="00740689" w:rsidRPr="002B26A9">
        <w:rPr>
          <w:rFonts w:cs="Arial"/>
          <w:vertAlign w:val="superscript"/>
        </w:rPr>
        <w:t>®</w:t>
      </w:r>
      <w:r w:rsidR="00740689" w:rsidRPr="00740689">
        <w:rPr>
          <w:rFonts w:cs="Arial"/>
        </w:rPr>
        <w:t xml:space="preserve"> </w:t>
      </w:r>
      <w:r w:rsidR="00740689">
        <w:rPr>
          <w:rFonts w:cs="Arial"/>
        </w:rPr>
        <w:t>2</w:t>
      </w:r>
      <w:r w:rsidR="00740689" w:rsidRPr="00740689">
        <w:rPr>
          <w:rFonts w:cs="Arial"/>
        </w:rPr>
        <w:t>00g/ha</w:t>
      </w:r>
      <w:r w:rsidR="00740689">
        <w:rPr>
          <w:rFonts w:cs="Arial"/>
        </w:rPr>
        <w:t>)</w:t>
      </w:r>
      <w:r w:rsidR="00740689">
        <w:rPr>
          <w:rFonts w:cs="Arial"/>
          <w:szCs w:val="20"/>
        </w:rPr>
        <w:t>,</w:t>
      </w:r>
      <w:r w:rsidR="005D311D">
        <w:rPr>
          <w:rFonts w:cs="Arial"/>
          <w:szCs w:val="20"/>
        </w:rPr>
        <w:t xml:space="preserve"> and </w:t>
      </w:r>
      <w:r w:rsidR="003B08D9">
        <w:rPr>
          <w:rFonts w:cs="Arial"/>
          <w:szCs w:val="20"/>
        </w:rPr>
        <w:t xml:space="preserve">foliar </w:t>
      </w:r>
      <w:r w:rsidR="00855DB8">
        <w:rPr>
          <w:rFonts w:cs="Arial"/>
          <w:szCs w:val="20"/>
        </w:rPr>
        <w:t>propiconazole (</w:t>
      </w:r>
      <w:r w:rsidR="002968C1" w:rsidRPr="00740689">
        <w:rPr>
          <w:rFonts w:cs="Arial"/>
          <w:szCs w:val="20"/>
        </w:rPr>
        <w:t>Tilt</w:t>
      </w:r>
      <w:r w:rsidR="002968C1" w:rsidRPr="002B26A9">
        <w:rPr>
          <w:rFonts w:cs="Arial"/>
          <w:szCs w:val="20"/>
          <w:vertAlign w:val="superscript"/>
        </w:rPr>
        <w:t>®</w:t>
      </w:r>
      <w:r w:rsidR="002968C1" w:rsidRPr="00740689">
        <w:rPr>
          <w:rFonts w:cs="Arial"/>
          <w:szCs w:val="20"/>
        </w:rPr>
        <w:t xml:space="preserve"> 250EC 250-500mL/ha)</w:t>
      </w:r>
      <w:r w:rsidR="00740689">
        <w:rPr>
          <w:rFonts w:cs="Arial"/>
          <w:szCs w:val="20"/>
        </w:rPr>
        <w:t xml:space="preserve"> and </w:t>
      </w:r>
      <w:r w:rsidR="00855DB8">
        <w:rPr>
          <w:rFonts w:cs="Arial"/>
          <w:szCs w:val="20"/>
        </w:rPr>
        <w:t>prothioconazole + tebuconazole (</w:t>
      </w:r>
      <w:r w:rsidR="00740689">
        <w:rPr>
          <w:rFonts w:cs="Arial"/>
          <w:szCs w:val="20"/>
        </w:rPr>
        <w:t>P</w:t>
      </w:r>
      <w:r w:rsidR="002968C1" w:rsidRPr="00740689">
        <w:rPr>
          <w:rFonts w:cs="Arial"/>
          <w:szCs w:val="20"/>
        </w:rPr>
        <w:t>rosaro</w:t>
      </w:r>
      <w:r w:rsidR="002968C1" w:rsidRPr="002B26A9">
        <w:rPr>
          <w:rFonts w:cs="Arial"/>
          <w:szCs w:val="20"/>
          <w:vertAlign w:val="superscript"/>
        </w:rPr>
        <w:t>®</w:t>
      </w:r>
      <w:r w:rsidR="00740689">
        <w:rPr>
          <w:rFonts w:cs="Arial"/>
          <w:szCs w:val="20"/>
        </w:rPr>
        <w:t xml:space="preserve"> 420SC</w:t>
      </w:r>
      <w:r w:rsidR="002968C1" w:rsidRPr="00740689">
        <w:rPr>
          <w:rFonts w:cs="Arial"/>
          <w:szCs w:val="20"/>
        </w:rPr>
        <w:t xml:space="preserve"> 150</w:t>
      </w:r>
      <w:r w:rsidR="002B26A9">
        <w:rPr>
          <w:rFonts w:cs="Arial"/>
          <w:szCs w:val="20"/>
        </w:rPr>
        <w:t>-300</w:t>
      </w:r>
      <w:r w:rsidR="002968C1" w:rsidRPr="00740689">
        <w:rPr>
          <w:rFonts w:cs="Arial"/>
          <w:szCs w:val="20"/>
        </w:rPr>
        <w:t>mL/ha)</w:t>
      </w:r>
      <w:r w:rsidR="005D311D">
        <w:rPr>
          <w:rFonts w:cs="Arial"/>
          <w:szCs w:val="20"/>
        </w:rPr>
        <w:t xml:space="preserve"> applied at Z</w:t>
      </w:r>
      <w:r w:rsidR="002B26A9">
        <w:rPr>
          <w:rFonts w:cs="Arial"/>
          <w:szCs w:val="20"/>
        </w:rPr>
        <w:t>30</w:t>
      </w:r>
      <w:r w:rsidR="005D311D">
        <w:rPr>
          <w:rFonts w:cs="Arial"/>
          <w:szCs w:val="20"/>
        </w:rPr>
        <w:t>-31, Z39-45 or Z55</w:t>
      </w:r>
      <w:r w:rsidR="00740689">
        <w:rPr>
          <w:rFonts w:cs="Arial"/>
          <w:szCs w:val="20"/>
        </w:rPr>
        <w:t xml:space="preserve">, </w:t>
      </w:r>
      <w:r w:rsidR="002968C1" w:rsidRPr="00740689">
        <w:rPr>
          <w:rFonts w:cs="Arial"/>
          <w:szCs w:val="20"/>
        </w:rPr>
        <w:t xml:space="preserve">with appropriate water rates and adjuvants as per label recommendations. </w:t>
      </w:r>
    </w:p>
    <w:p w:rsidR="006263E6" w:rsidRDefault="004A2DFD" w:rsidP="00715DB0">
      <w:r>
        <w:t xml:space="preserve">Disease severity was assessed </w:t>
      </w:r>
      <w:r w:rsidR="007627D3">
        <w:t xml:space="preserve">regularly through the growing season </w:t>
      </w:r>
      <w:r>
        <w:t xml:space="preserve">by estimating leaf area affected by </w:t>
      </w:r>
      <w:r w:rsidR="00485BF3">
        <w:t>foliar disease</w:t>
      </w:r>
      <w:r>
        <w:t xml:space="preserve"> symptoms on the top three or four fully expanded leaves </w:t>
      </w:r>
      <w:r w:rsidR="00755AC5">
        <w:t>of at least ten randomly selected plants per plot</w:t>
      </w:r>
      <w:r>
        <w:t xml:space="preserve">. </w:t>
      </w:r>
      <w:r w:rsidR="00485BF3">
        <w:t>Where multiple diseases were present</w:t>
      </w:r>
      <w:r w:rsidR="007627D3">
        <w:t>,</w:t>
      </w:r>
      <w:r w:rsidR="00485BF3">
        <w:t xml:space="preserve"> area affected was assigned to each disease. Where disease was present on stems or heads</w:t>
      </w:r>
      <w:r w:rsidR="002B26A9">
        <w:t>,</w:t>
      </w:r>
      <w:r w:rsidR="00485BF3">
        <w:t xml:space="preserve"> incidence and severity of symptoms were recorded. </w:t>
      </w:r>
      <w:r>
        <w:t xml:space="preserve">Yield was </w:t>
      </w:r>
      <w:r w:rsidR="00E22F3F">
        <w:t xml:space="preserve">determined </w:t>
      </w:r>
      <w:r>
        <w:t xml:space="preserve">by machine harvest and grain quality parameters </w:t>
      </w:r>
      <w:r w:rsidR="007627D3">
        <w:t xml:space="preserve">assessed, </w:t>
      </w:r>
      <w:r>
        <w:t xml:space="preserve">including </w:t>
      </w:r>
      <w:r w:rsidR="006263E6">
        <w:t>hectolitre weight, thousand grain weight</w:t>
      </w:r>
      <w:r w:rsidR="00485BF3">
        <w:t>, protein</w:t>
      </w:r>
      <w:r w:rsidR="006263E6">
        <w:t xml:space="preserve"> and screenings </w:t>
      </w:r>
      <w:r w:rsidR="00485BF3">
        <w:t>(2.</w:t>
      </w:r>
      <w:r w:rsidR="00031DD2">
        <w:t>0</w:t>
      </w:r>
      <w:r w:rsidR="00755AC5">
        <w:t>mm screen)</w:t>
      </w:r>
      <w:r w:rsidR="006263E6">
        <w:t xml:space="preserve">. </w:t>
      </w:r>
    </w:p>
    <w:p w:rsidR="00A272CB" w:rsidRDefault="00FF6180" w:rsidP="004C6D11">
      <w:pPr>
        <w:spacing w:after="160"/>
        <w:rPr>
          <w:rFonts w:eastAsiaTheme="majorEastAsia" w:cstheme="majorBidi"/>
          <w:b/>
          <w:color w:val="000000" w:themeColor="text1"/>
          <w:sz w:val="22"/>
          <w:szCs w:val="26"/>
        </w:rPr>
      </w:pPr>
      <w:r>
        <w:t>Disease severity and yield responses were analysed by ANOVA. Spatial trends were evident in responses at the Geraldton site and REML analysis was carried out for this site.</w:t>
      </w:r>
    </w:p>
    <w:p w:rsidR="008C6588" w:rsidRDefault="003B6DA6" w:rsidP="008F2638">
      <w:pPr>
        <w:pStyle w:val="Heading2"/>
      </w:pPr>
      <w:r w:rsidRPr="008F2638">
        <w:lastRenderedPageBreak/>
        <w:t>R</w:t>
      </w:r>
      <w:r w:rsidR="008C6588" w:rsidRPr="008F2638">
        <w:t>esults</w:t>
      </w:r>
    </w:p>
    <w:p w:rsidR="00CA1567" w:rsidRDefault="00855DB8" w:rsidP="008C6588">
      <w:pPr>
        <w:rPr>
          <w:szCs w:val="20"/>
        </w:rPr>
      </w:pPr>
      <w:r>
        <w:rPr>
          <w:szCs w:val="20"/>
        </w:rPr>
        <w:t>T</w:t>
      </w:r>
      <w:r w:rsidR="00B51CED">
        <w:rPr>
          <w:szCs w:val="20"/>
        </w:rPr>
        <w:t xml:space="preserve">riadimenol </w:t>
      </w:r>
      <w:r w:rsidR="002B26A9">
        <w:rPr>
          <w:szCs w:val="20"/>
        </w:rPr>
        <w:t>seed treatment</w:t>
      </w:r>
      <w:r w:rsidR="00485BF3">
        <w:rPr>
          <w:szCs w:val="20"/>
        </w:rPr>
        <w:t xml:space="preserve"> significantly reduced seedling establishment by</w:t>
      </w:r>
      <w:r w:rsidR="00CA1567">
        <w:rPr>
          <w:szCs w:val="20"/>
        </w:rPr>
        <w:t xml:space="preserve"> 14-2</w:t>
      </w:r>
      <w:r w:rsidR="002B26A9">
        <w:rPr>
          <w:szCs w:val="20"/>
        </w:rPr>
        <w:t>6</w:t>
      </w:r>
      <w:r w:rsidR="00CA1567">
        <w:rPr>
          <w:szCs w:val="20"/>
        </w:rPr>
        <w:t>%</w:t>
      </w:r>
      <w:r w:rsidR="00485BF3">
        <w:rPr>
          <w:szCs w:val="20"/>
        </w:rPr>
        <w:t xml:space="preserve"> </w:t>
      </w:r>
      <w:r w:rsidR="00CA1567">
        <w:rPr>
          <w:szCs w:val="20"/>
        </w:rPr>
        <w:t xml:space="preserve">across all sites. </w:t>
      </w:r>
      <w:r w:rsidR="00020020">
        <w:rPr>
          <w:szCs w:val="20"/>
        </w:rPr>
        <w:t xml:space="preserve">Powdery mildew occurred at three of four </w:t>
      </w:r>
      <w:r w:rsidR="00473429">
        <w:rPr>
          <w:szCs w:val="20"/>
        </w:rPr>
        <w:t>sites,</w:t>
      </w:r>
      <w:r w:rsidR="00020020">
        <w:rPr>
          <w:szCs w:val="20"/>
        </w:rPr>
        <w:t xml:space="preserve"> however </w:t>
      </w:r>
      <w:r w:rsidR="00473429">
        <w:rPr>
          <w:szCs w:val="20"/>
        </w:rPr>
        <w:t xml:space="preserve">despite </w:t>
      </w:r>
      <w:r w:rsidR="002B26A9">
        <w:rPr>
          <w:szCs w:val="20"/>
        </w:rPr>
        <w:t xml:space="preserve">all sites </w:t>
      </w:r>
      <w:r w:rsidR="00473429">
        <w:rPr>
          <w:szCs w:val="20"/>
        </w:rPr>
        <w:t xml:space="preserve">using varieties that were </w:t>
      </w:r>
      <w:r w:rsidR="002B26A9">
        <w:rPr>
          <w:szCs w:val="20"/>
        </w:rPr>
        <w:t>susceptible to this disease</w:t>
      </w:r>
      <w:r w:rsidR="00473429">
        <w:rPr>
          <w:szCs w:val="20"/>
        </w:rPr>
        <w:t xml:space="preserve">, </w:t>
      </w:r>
      <w:r w:rsidR="00020020">
        <w:rPr>
          <w:szCs w:val="20"/>
        </w:rPr>
        <w:t xml:space="preserve">Geraldton was the only </w:t>
      </w:r>
      <w:r w:rsidR="002B26A9">
        <w:rPr>
          <w:szCs w:val="20"/>
        </w:rPr>
        <w:t>location</w:t>
      </w:r>
      <w:r w:rsidR="00020020">
        <w:rPr>
          <w:szCs w:val="20"/>
        </w:rPr>
        <w:t xml:space="preserve"> at which</w:t>
      </w:r>
      <w:r w:rsidR="00295C67">
        <w:rPr>
          <w:szCs w:val="20"/>
        </w:rPr>
        <w:t xml:space="preserve"> infection was severe enough to cause yield loss.</w:t>
      </w:r>
    </w:p>
    <w:p w:rsidR="00020020" w:rsidRPr="00F73739" w:rsidRDefault="005D311D" w:rsidP="00020020">
      <w:r w:rsidRPr="00B51CED">
        <w:rPr>
          <w:i/>
        </w:rPr>
        <w:t>Geraldton</w:t>
      </w:r>
      <w:r>
        <w:t xml:space="preserve">: </w:t>
      </w:r>
      <w:r w:rsidR="00E22F3F">
        <w:t xml:space="preserve">Seed </w:t>
      </w:r>
      <w:r w:rsidR="00031DD2">
        <w:t>dressing, in-furrow</w:t>
      </w:r>
      <w:r w:rsidR="00C06C16">
        <w:t xml:space="preserve"> or foliar fungicides were applied as stand-alone treatments</w:t>
      </w:r>
      <w:r w:rsidR="00E22F3F">
        <w:t xml:space="preserve"> and</w:t>
      </w:r>
      <w:r w:rsidR="00C06C16">
        <w:t xml:space="preserve"> due to limitations of experimental space multiple application treatments were not included. P</w:t>
      </w:r>
      <w:r>
        <w:t>owdery mildew was evident in untreated plots in early July</w:t>
      </w:r>
      <w:r w:rsidR="002B26A9">
        <w:t xml:space="preserve"> (~Z31/32)</w:t>
      </w:r>
      <w:r>
        <w:t xml:space="preserve">, approximately </w:t>
      </w:r>
      <w:r w:rsidR="00112D5D">
        <w:t xml:space="preserve">nine weeks after sowing and </w:t>
      </w:r>
      <w:r>
        <w:t xml:space="preserve">one week after first foliar application. At this time </w:t>
      </w:r>
      <w:r w:rsidR="004B47FB">
        <w:t xml:space="preserve">the </w:t>
      </w:r>
      <w:r w:rsidR="002B26A9">
        <w:t>average severity of foliar disease</w:t>
      </w:r>
      <w:r w:rsidR="002B26A9" w:rsidRPr="002B26A9">
        <w:t xml:space="preserve"> </w:t>
      </w:r>
      <w:r w:rsidR="002B26A9">
        <w:t xml:space="preserve">infection </w:t>
      </w:r>
      <w:r>
        <w:t>across the top</w:t>
      </w:r>
      <w:r w:rsidR="002B26A9">
        <w:t xml:space="preserve"> </w:t>
      </w:r>
      <w:r>
        <w:t xml:space="preserve">4 leaves was 0.6% </w:t>
      </w:r>
      <w:r w:rsidR="003B08D9">
        <w:t>PM</w:t>
      </w:r>
      <w:r>
        <w:t xml:space="preserve"> and 2.4% yellow spot.</w:t>
      </w:r>
      <w:r w:rsidR="002B26A9">
        <w:t xml:space="preserve"> </w:t>
      </w:r>
      <w:r w:rsidR="008B4736">
        <w:t xml:space="preserve">Powdery mildew </w:t>
      </w:r>
      <w:r>
        <w:t xml:space="preserve">developed rapidly and </w:t>
      </w:r>
      <w:r w:rsidR="00C06C16">
        <w:t>all treatments significantly reduced disease incidence and severity</w:t>
      </w:r>
      <w:r w:rsidR="002B26A9">
        <w:t xml:space="preserve"> </w:t>
      </w:r>
      <w:r w:rsidR="00020020" w:rsidRPr="00F73739">
        <w:t xml:space="preserve">(Figure 1). Powdery mildew infection rapidly </w:t>
      </w:r>
      <w:r w:rsidR="00020476">
        <w:t xml:space="preserve">diminished </w:t>
      </w:r>
      <w:r w:rsidR="00020020" w:rsidRPr="00F73739">
        <w:t>from the beginning of September</w:t>
      </w:r>
      <w:r w:rsidR="00C06C16">
        <w:t xml:space="preserve"> while s</w:t>
      </w:r>
      <w:r w:rsidR="00020020" w:rsidRPr="00F73739">
        <w:t xml:space="preserve">eptoria nodorum blotch </w:t>
      </w:r>
      <w:r w:rsidR="00C06C16">
        <w:t xml:space="preserve">became evident at low severity on </w:t>
      </w:r>
      <w:r w:rsidR="002B26A9" w:rsidRPr="00F73739">
        <w:t xml:space="preserve">upper canopy leaves </w:t>
      </w:r>
      <w:r w:rsidR="00020020" w:rsidRPr="00F73739">
        <w:t>and some glume</w:t>
      </w:r>
      <w:r w:rsidR="00C06C16">
        <w:t>s.</w:t>
      </w:r>
    </w:p>
    <w:p w:rsidR="00020020" w:rsidRPr="00F73739" w:rsidRDefault="00C06C16" w:rsidP="00020020">
      <w:r>
        <w:t>S</w:t>
      </w:r>
      <w:r w:rsidR="00020020" w:rsidRPr="00F73739">
        <w:t xml:space="preserve">patial analysis (using REML) revealed significant </w:t>
      </w:r>
      <w:r>
        <w:t xml:space="preserve">treatment </w:t>
      </w:r>
      <w:r w:rsidR="00020020" w:rsidRPr="00F73739">
        <w:t xml:space="preserve">yield responses </w:t>
      </w:r>
      <w:r w:rsidR="00031DD2">
        <w:t xml:space="preserve">(Table 2) </w:t>
      </w:r>
      <w:r w:rsidR="00020020" w:rsidRPr="00F73739">
        <w:t>and ANOVA revealed significant grain quality responses to fungicide treatments (</w:t>
      </w:r>
      <w:r w:rsidR="00F73739" w:rsidRPr="00F73739">
        <w:t>data not presented</w:t>
      </w:r>
      <w:r w:rsidR="00020020" w:rsidRPr="00F73739">
        <w:t>).</w:t>
      </w:r>
      <w:r w:rsidR="00F73739" w:rsidRPr="00F73739">
        <w:t xml:space="preserve"> Yield responses greater than 13% (0.6t/ha) were significant, </w:t>
      </w:r>
      <w:r>
        <w:t>effective</w:t>
      </w:r>
      <w:r w:rsidR="00F73739" w:rsidRPr="00F73739">
        <w:t xml:space="preserve"> treatments included a</w:t>
      </w:r>
      <w:r w:rsidR="00020020" w:rsidRPr="00F73739">
        <w:t>ll foliar fungicide</w:t>
      </w:r>
      <w:r w:rsidR="00F73739" w:rsidRPr="00F73739">
        <w:t xml:space="preserve"> timings </w:t>
      </w:r>
      <w:r>
        <w:t xml:space="preserve">and </w:t>
      </w:r>
      <w:r w:rsidR="00F73739" w:rsidRPr="00F73739">
        <w:t xml:space="preserve">fertiliser applied flutriafol and </w:t>
      </w:r>
      <w:r w:rsidR="00F93D6A">
        <w:t>azoxystrobin</w:t>
      </w:r>
      <w:r w:rsidR="00F73739" w:rsidRPr="00F73739">
        <w:t>.</w:t>
      </w:r>
      <w:r w:rsidR="00020020" w:rsidRPr="00F73739">
        <w:t xml:space="preserve"> </w:t>
      </w:r>
    </w:p>
    <w:p w:rsidR="00187171" w:rsidRDefault="00187171" w:rsidP="005D311D">
      <w:pPr>
        <w:rPr>
          <w:color w:val="000000" w:themeColor="text1"/>
        </w:rPr>
      </w:pPr>
    </w:p>
    <w:p w:rsidR="00EA2583" w:rsidRDefault="00EA2583" w:rsidP="005D311D">
      <w:pPr>
        <w:rPr>
          <w:color w:val="000000" w:themeColor="text1"/>
        </w:rPr>
      </w:pPr>
      <w:r w:rsidRPr="00EA2583">
        <w:rPr>
          <w:noProof/>
          <w:lang w:eastAsia="en-AU"/>
        </w:rPr>
        <w:drawing>
          <wp:inline distT="0" distB="0" distL="0" distR="0" wp14:anchorId="2866FE2E" wp14:editId="1231F831">
            <wp:extent cx="5400000" cy="3280862"/>
            <wp:effectExtent l="0" t="0" r="0" b="0"/>
            <wp:docPr id="2" name="Picture 2" descr="Seed, fertiliser and foliar applied fungicides reduced average levels of powdery mildew on the top 3 leaves on Wyalkatchem Wheat at Geraldton in 2016. Mildew was first detected at the site in early July when the plants were at Z31 growth stage and disease climbed to 23 percent on the top three leaves of the untreated plots by 24 August, Z71 growth stage. The most effective treatment at the site for disease control was Flutriafol in-furrow which kept disease levels down to 2% over the same period. The other treatments ranged in disease level from 3-12% on the top 3 leaves when last assessed on 24 August, plants at Z71 growth stage." title="Figure 1. Powdery mildew disease development on the top three leaves of treatments in the Geraldton trial, variety Wyalkatchem,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3280862"/>
                    </a:xfrm>
                    <a:prstGeom prst="rect">
                      <a:avLst/>
                    </a:prstGeom>
                    <a:noFill/>
                    <a:ln>
                      <a:noFill/>
                    </a:ln>
                  </pic:spPr>
                </pic:pic>
              </a:graphicData>
            </a:graphic>
          </wp:inline>
        </w:drawing>
      </w:r>
    </w:p>
    <w:p w:rsidR="00644B9E" w:rsidRPr="00F73739" w:rsidRDefault="00644B9E" w:rsidP="00644B9E">
      <w:pPr>
        <w:rPr>
          <w:b/>
        </w:rPr>
      </w:pPr>
      <w:r w:rsidRPr="00F73739">
        <w:rPr>
          <w:b/>
        </w:rPr>
        <w:t xml:space="preserve">Figure 1. </w:t>
      </w:r>
      <w:proofErr w:type="gramStart"/>
      <w:r w:rsidR="00F73739">
        <w:rPr>
          <w:b/>
        </w:rPr>
        <w:t>Effect of seed</w:t>
      </w:r>
      <w:r w:rsidR="00EA2583">
        <w:rPr>
          <w:b/>
        </w:rPr>
        <w:t xml:space="preserve"> (SD)</w:t>
      </w:r>
      <w:r w:rsidR="00F73739">
        <w:rPr>
          <w:b/>
        </w:rPr>
        <w:t>, fertiliser</w:t>
      </w:r>
      <w:r w:rsidR="00EA2583">
        <w:rPr>
          <w:b/>
        </w:rPr>
        <w:t xml:space="preserve"> (IF)</w:t>
      </w:r>
      <w:r w:rsidR="00F73739">
        <w:rPr>
          <w:b/>
        </w:rPr>
        <w:t xml:space="preserve"> and foliar applied fungicides on powdery mildew disease progress </w:t>
      </w:r>
      <w:r w:rsidR="00F73739" w:rsidRPr="00F73739">
        <w:rPr>
          <w:b/>
        </w:rPr>
        <w:t xml:space="preserve">(average </w:t>
      </w:r>
      <w:r w:rsidR="000650D3" w:rsidRPr="00F73739">
        <w:rPr>
          <w:b/>
        </w:rPr>
        <w:t xml:space="preserve">% </w:t>
      </w:r>
      <w:r w:rsidR="00F73739" w:rsidRPr="00F73739">
        <w:rPr>
          <w:b/>
        </w:rPr>
        <w:t>leaf area diseased by powdery mildew on top 3 leaves)</w:t>
      </w:r>
      <w:r w:rsidR="00F73739">
        <w:rPr>
          <w:b/>
        </w:rPr>
        <w:t xml:space="preserve"> </w:t>
      </w:r>
      <w:r w:rsidRPr="00F73739">
        <w:rPr>
          <w:b/>
        </w:rPr>
        <w:t>on Wyalkatchem</w:t>
      </w:r>
      <w:r w:rsidR="00AD1B3C" w:rsidRPr="00740689">
        <w:rPr>
          <w:rFonts w:cs="Arial"/>
          <w:noProof/>
          <w:szCs w:val="20"/>
          <w:lang w:eastAsia="en-AU"/>
        </w:rPr>
        <w:drawing>
          <wp:inline distT="0" distB="0" distL="0" distR="0" wp14:anchorId="220B1C3C" wp14:editId="1F46F8A0">
            <wp:extent cx="83077" cy="108000"/>
            <wp:effectExtent l="0" t="0" r="0" b="6350"/>
            <wp:docPr id="5" name="Picture 5"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Pr="00F73739">
        <w:rPr>
          <w:b/>
        </w:rPr>
        <w:t xml:space="preserve"> wheat </w:t>
      </w:r>
      <w:r w:rsidR="00F73739">
        <w:rPr>
          <w:b/>
        </w:rPr>
        <w:t>at Geraldton</w:t>
      </w:r>
      <w:r w:rsidRPr="00F73739">
        <w:rPr>
          <w:b/>
        </w:rPr>
        <w:t>.</w:t>
      </w:r>
      <w:proofErr w:type="gramEnd"/>
      <w:r w:rsidRPr="00F73739">
        <w:rPr>
          <w:b/>
        </w:rPr>
        <w:t xml:space="preserve"> </w:t>
      </w:r>
      <w:r w:rsidR="00E40494">
        <w:rPr>
          <w:b/>
        </w:rPr>
        <w:t>Mildew first detected in early July at Z31/32</w:t>
      </w:r>
      <w:r w:rsidR="00EB69F7">
        <w:rPr>
          <w:b/>
        </w:rPr>
        <w:t xml:space="preserve"> (Bar=Lsd at each assessment time)</w:t>
      </w:r>
      <w:r w:rsidR="00E40494">
        <w:rPr>
          <w:b/>
        </w:rPr>
        <w:t>.</w:t>
      </w:r>
    </w:p>
    <w:p w:rsidR="0077044E" w:rsidRDefault="0077044E" w:rsidP="00020020">
      <w:pPr>
        <w:spacing w:after="0" w:line="240" w:lineRule="auto"/>
      </w:pPr>
    </w:p>
    <w:p w:rsidR="00FE181F" w:rsidRDefault="00020020" w:rsidP="00FE181F">
      <w:r w:rsidRPr="0066495E">
        <w:rPr>
          <w:i/>
        </w:rPr>
        <w:t>Dalwallinu</w:t>
      </w:r>
      <w:r w:rsidRPr="00F73739">
        <w:t>: Powdery mildew became apparent</w:t>
      </w:r>
      <w:r w:rsidR="00473429" w:rsidRPr="00F73739">
        <w:t xml:space="preserve"> on 7th July</w:t>
      </w:r>
      <w:r w:rsidR="00F73739">
        <w:t xml:space="preserve"> (~Z30)</w:t>
      </w:r>
      <w:r w:rsidR="00473429" w:rsidRPr="00F73739">
        <w:t xml:space="preserve">, approximately </w:t>
      </w:r>
      <w:r w:rsidR="00F73739">
        <w:t>nine weeks after sowing. I</w:t>
      </w:r>
      <w:r w:rsidRPr="00F73739">
        <w:t xml:space="preserve">nfection incidence increased slowly for six weeks reaching 90% of plants affected but at </w:t>
      </w:r>
      <w:r w:rsidR="00E40494">
        <w:t xml:space="preserve">a </w:t>
      </w:r>
      <w:r w:rsidRPr="00F73739">
        <w:t xml:space="preserve">severity of less than 5% </w:t>
      </w:r>
      <w:r w:rsidR="00E40494">
        <w:t xml:space="preserve">average </w:t>
      </w:r>
      <w:r w:rsidRPr="00F73739">
        <w:t>leaf area affected</w:t>
      </w:r>
      <w:r w:rsidR="00E40494">
        <w:t xml:space="preserve"> (top 3 leaves)</w:t>
      </w:r>
      <w:r w:rsidR="00473429" w:rsidRPr="00F73739">
        <w:t>.</w:t>
      </w:r>
      <w:r w:rsidR="0077044E">
        <w:t xml:space="preserve"> </w:t>
      </w:r>
      <w:r w:rsidR="00855DB8">
        <w:t>Fluquinconazole and triadimenol</w:t>
      </w:r>
      <w:r w:rsidR="00473429" w:rsidRPr="00F73739">
        <w:t xml:space="preserve"> </w:t>
      </w:r>
      <w:r w:rsidRPr="00F73739">
        <w:t>seed dressing</w:t>
      </w:r>
      <w:r w:rsidR="00473429" w:rsidRPr="00F73739">
        <w:t>s</w:t>
      </w:r>
      <w:r w:rsidR="0077044E">
        <w:t xml:space="preserve"> and </w:t>
      </w:r>
      <w:r w:rsidR="0066495E">
        <w:t>f</w:t>
      </w:r>
      <w:r w:rsidR="00473429" w:rsidRPr="00F73739">
        <w:t xml:space="preserve">lutriafol </w:t>
      </w:r>
      <w:r w:rsidR="0077044E">
        <w:t xml:space="preserve">in-furrow application </w:t>
      </w:r>
      <w:r w:rsidRPr="00F73739">
        <w:t xml:space="preserve">delayed the development </w:t>
      </w:r>
      <w:r w:rsidR="00C06C16">
        <w:t xml:space="preserve">and spread </w:t>
      </w:r>
      <w:r w:rsidRPr="00F73739">
        <w:t xml:space="preserve">of </w:t>
      </w:r>
      <w:r w:rsidR="003B08D9">
        <w:t>PM</w:t>
      </w:r>
      <w:r w:rsidR="00C06C16">
        <w:t xml:space="preserve"> (Table </w:t>
      </w:r>
      <w:r w:rsidR="00E40494">
        <w:t>1</w:t>
      </w:r>
      <w:r w:rsidR="00C06C16">
        <w:t>)</w:t>
      </w:r>
      <w:r w:rsidR="00473429" w:rsidRPr="00F73739">
        <w:t xml:space="preserve">. </w:t>
      </w:r>
      <w:r w:rsidR="00357E03" w:rsidRPr="00357E03">
        <w:t xml:space="preserve"> </w:t>
      </w:r>
      <w:r w:rsidR="00357E03">
        <w:t>Prosaro</w:t>
      </w:r>
      <w:r w:rsidR="00357E03" w:rsidRPr="00F87E89">
        <w:rPr>
          <w:vertAlign w:val="superscript"/>
        </w:rPr>
        <w:t>®</w:t>
      </w:r>
      <w:r w:rsidR="0077044E">
        <w:t xml:space="preserve"> foliar</w:t>
      </w:r>
      <w:r w:rsidRPr="00F73739">
        <w:t xml:space="preserve"> fungicide applied at stem extension</w:t>
      </w:r>
      <w:r w:rsidR="003B08D9">
        <w:t xml:space="preserve"> (Z30)</w:t>
      </w:r>
      <w:r w:rsidRPr="00F73739">
        <w:t xml:space="preserve"> as disease became apparent </w:t>
      </w:r>
      <w:r w:rsidR="00473429" w:rsidRPr="00F73739">
        <w:t xml:space="preserve">also </w:t>
      </w:r>
      <w:r w:rsidR="00E40494">
        <w:t xml:space="preserve">significantly </w:t>
      </w:r>
      <w:r w:rsidRPr="00F73739">
        <w:t xml:space="preserve">delayed development of </w:t>
      </w:r>
      <w:r w:rsidR="00473429" w:rsidRPr="00F73739">
        <w:t xml:space="preserve">infection. </w:t>
      </w:r>
      <w:r w:rsidR="00664C05">
        <w:t>PM incidence and severity diminished rapidly by flowering and there was no disease response to the foliar fungicide applied at booting.</w:t>
      </w:r>
    </w:p>
    <w:p w:rsidR="007143D6" w:rsidRDefault="0077044E" w:rsidP="00FE181F">
      <w:r>
        <w:t xml:space="preserve">Flag smut, arising from soil borne inoculum, </w:t>
      </w:r>
      <w:r w:rsidR="00FE181F">
        <w:t xml:space="preserve">occurred in 0.8% of plants in </w:t>
      </w:r>
      <w:r w:rsidR="00E87853">
        <w:t>u</w:t>
      </w:r>
      <w:r w:rsidR="00FE181F">
        <w:t>ntreated control plots. S</w:t>
      </w:r>
      <w:r>
        <w:t>eed treatment</w:t>
      </w:r>
      <w:r w:rsidR="00FE181F">
        <w:t xml:space="preserve"> </w:t>
      </w:r>
      <w:r>
        <w:t>(</w:t>
      </w:r>
      <w:r w:rsidR="00855DB8">
        <w:t>fluxapyroxad, triadimenol, fluquinconazole</w:t>
      </w:r>
      <w:r w:rsidR="00FE181F">
        <w:t xml:space="preserve">) completely controlled infection (0%) and </w:t>
      </w:r>
      <w:r>
        <w:t xml:space="preserve">in-furrow fungicides reduced </w:t>
      </w:r>
      <w:r w:rsidR="00E87853">
        <w:t xml:space="preserve">flag smut </w:t>
      </w:r>
      <w:r>
        <w:t>incidence (</w:t>
      </w:r>
      <w:r w:rsidR="00855DB8">
        <w:t>f</w:t>
      </w:r>
      <w:r>
        <w:t xml:space="preserve">lutriafol 0.2%, Triadimefon 0.2%, </w:t>
      </w:r>
      <w:r w:rsidR="00855DB8">
        <w:t xml:space="preserve">azoxystrobin </w:t>
      </w:r>
      <w:r>
        <w:t xml:space="preserve">0.6%), but not as successfully as seed dressings. </w:t>
      </w:r>
      <w:r w:rsidR="007143D6">
        <w:t>Foliar</w:t>
      </w:r>
      <w:r>
        <w:t xml:space="preserve"> application </w:t>
      </w:r>
      <w:r w:rsidR="00E40494">
        <w:t>of Prosaro</w:t>
      </w:r>
      <w:r w:rsidR="00855DB8" w:rsidRPr="00357E03">
        <w:rPr>
          <w:vertAlign w:val="superscript"/>
        </w:rPr>
        <w:t>®</w:t>
      </w:r>
      <w:r w:rsidR="00E40494">
        <w:t xml:space="preserve"> </w:t>
      </w:r>
      <w:r>
        <w:t xml:space="preserve">had </w:t>
      </w:r>
      <w:r w:rsidR="007143D6">
        <w:t>no</w:t>
      </w:r>
      <w:r>
        <w:t xml:space="preserve"> effect on flag smut incidence (0.8%). </w:t>
      </w:r>
    </w:p>
    <w:p w:rsidR="0077044E" w:rsidRDefault="0077044E" w:rsidP="00357E03">
      <w:pPr>
        <w:rPr>
          <w:rFonts w:ascii="Calibri" w:hAnsi="Calibri" w:cs="Calibri"/>
          <w:b/>
        </w:rPr>
      </w:pPr>
      <w:r w:rsidRPr="00F73739">
        <w:t>In the absence of yield limiting levels of powdery mildew or other foliar diseases, neither seed dressing, in-furrow nor foliar applied fungicides had an impact on grain yield or quality</w:t>
      </w:r>
      <w:r w:rsidR="00E40494">
        <w:t xml:space="preserve"> at Dalwallinu (Table 2)</w:t>
      </w:r>
      <w:r>
        <w:t>.</w:t>
      </w:r>
    </w:p>
    <w:p w:rsidR="0077044E" w:rsidRDefault="0077044E">
      <w:pPr>
        <w:spacing w:after="160"/>
        <w:rPr>
          <w:rFonts w:cs="Arial"/>
        </w:rPr>
      </w:pPr>
      <w:r>
        <w:rPr>
          <w:rFonts w:cs="Arial"/>
        </w:rPr>
        <w:br w:type="page"/>
      </w:r>
    </w:p>
    <w:p w:rsidR="0077044E" w:rsidRPr="00020476" w:rsidRDefault="0077044E" w:rsidP="0077044E">
      <w:pPr>
        <w:tabs>
          <w:tab w:val="left" w:pos="0"/>
        </w:tabs>
        <w:jc w:val="both"/>
        <w:rPr>
          <w:rFonts w:cs="Arial"/>
          <w:b/>
        </w:rPr>
      </w:pPr>
      <w:proofErr w:type="gramStart"/>
      <w:r w:rsidRPr="00020476">
        <w:rPr>
          <w:rFonts w:cs="Arial"/>
          <w:b/>
        </w:rPr>
        <w:lastRenderedPageBreak/>
        <w:t>Table 1: Effect of fungicide treatments on incidence of powdery mildew in Corack</w:t>
      </w:r>
      <w:r w:rsidR="00D460D1" w:rsidRPr="00740689">
        <w:rPr>
          <w:rFonts w:cs="Arial"/>
          <w:noProof/>
          <w:szCs w:val="20"/>
          <w:lang w:eastAsia="en-AU"/>
        </w:rPr>
        <w:drawing>
          <wp:inline distT="0" distB="0" distL="0" distR="0" wp14:anchorId="7E395942" wp14:editId="792235CE">
            <wp:extent cx="83077" cy="108000"/>
            <wp:effectExtent l="0" t="0" r="0" b="6350"/>
            <wp:docPr id="11" name="Picture 11"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Pr="00020476">
        <w:rPr>
          <w:rFonts w:cs="Arial"/>
          <w:b/>
        </w:rPr>
        <w:t xml:space="preserve"> wheat at Dalwallinu in 2016.</w:t>
      </w:r>
      <w:proofErr w:type="gramEnd"/>
      <w:r w:rsidRPr="00020476">
        <w:rPr>
          <w:rFonts w:cs="Arial"/>
          <w:b/>
        </w:rPr>
        <w:t xml:space="preserve"> Mildew first detected at trace levels on 7</w:t>
      </w:r>
      <w:r w:rsidRPr="00020476">
        <w:rPr>
          <w:rFonts w:cs="Arial"/>
          <w:b/>
          <w:vertAlign w:val="superscript"/>
        </w:rPr>
        <w:t>th</w:t>
      </w:r>
      <w:r w:rsidRPr="00020476">
        <w:rPr>
          <w:rFonts w:cs="Arial"/>
          <w:b/>
        </w:rPr>
        <w:t xml:space="preserve"> July</w:t>
      </w:r>
      <w:r w:rsidR="00E40494">
        <w:rPr>
          <w:rFonts w:cs="Arial"/>
          <w:b/>
        </w:rPr>
        <w:t xml:space="preserve"> (~Z30)</w:t>
      </w:r>
      <w:r w:rsidRPr="00020476">
        <w:rPr>
          <w:rFonts w:cs="Arial"/>
          <w:b/>
        </w:rPr>
        <w:t>.</w:t>
      </w:r>
    </w:p>
    <w:tbl>
      <w:tblPr>
        <w:tblW w:w="6958" w:type="dxa"/>
        <w:tblInd w:w="93" w:type="dxa"/>
        <w:tblLook w:val="04A0" w:firstRow="1" w:lastRow="0" w:firstColumn="1" w:lastColumn="0" w:noHBand="0" w:noVBand="1"/>
      </w:tblPr>
      <w:tblGrid>
        <w:gridCol w:w="3556"/>
        <w:gridCol w:w="1134"/>
        <w:gridCol w:w="1134"/>
        <w:gridCol w:w="1134"/>
      </w:tblGrid>
      <w:tr w:rsidR="00F73739" w:rsidRPr="00031DD2" w:rsidTr="00357E03">
        <w:trPr>
          <w:trHeight w:val="283"/>
        </w:trPr>
        <w:tc>
          <w:tcPr>
            <w:tcW w:w="3556" w:type="dxa"/>
            <w:tcBorders>
              <w:top w:val="single" w:sz="4" w:space="0" w:color="auto"/>
              <w:left w:val="nil"/>
            </w:tcBorders>
            <w:shd w:val="clear" w:color="auto" w:fill="auto"/>
          </w:tcPr>
          <w:p w:rsidR="00F73739" w:rsidRPr="00031DD2" w:rsidRDefault="0077044E" w:rsidP="0077044E">
            <w:pPr>
              <w:spacing w:after="0" w:line="240" w:lineRule="auto"/>
              <w:rPr>
                <w:szCs w:val="20"/>
              </w:rPr>
            </w:pPr>
            <w:r w:rsidRPr="00031DD2">
              <w:rPr>
                <w:szCs w:val="20"/>
              </w:rPr>
              <w:t>Fungicide treatment</w:t>
            </w:r>
          </w:p>
        </w:tc>
        <w:tc>
          <w:tcPr>
            <w:tcW w:w="3402" w:type="dxa"/>
            <w:gridSpan w:val="3"/>
            <w:tcBorders>
              <w:top w:val="single" w:sz="4" w:space="0" w:color="auto"/>
            </w:tcBorders>
            <w:shd w:val="clear" w:color="auto" w:fill="auto"/>
            <w:noWrap/>
          </w:tcPr>
          <w:p w:rsidR="00F73739" w:rsidRPr="00031DD2" w:rsidRDefault="00F73739" w:rsidP="00F73739">
            <w:pPr>
              <w:spacing w:after="0" w:line="240" w:lineRule="auto"/>
              <w:jc w:val="center"/>
              <w:rPr>
                <w:szCs w:val="20"/>
              </w:rPr>
            </w:pPr>
            <w:r w:rsidRPr="00031DD2">
              <w:rPr>
                <w:szCs w:val="20"/>
              </w:rPr>
              <w:t>Incidence of powdery mildew</w:t>
            </w:r>
            <w:r w:rsidRPr="00031DD2">
              <w:rPr>
                <w:szCs w:val="20"/>
              </w:rPr>
              <w:br/>
              <w:t>(% plants affected)</w:t>
            </w:r>
          </w:p>
        </w:tc>
      </w:tr>
      <w:tr w:rsidR="00F73739" w:rsidRPr="00031DD2" w:rsidTr="00357E03">
        <w:trPr>
          <w:trHeight w:val="283"/>
        </w:trPr>
        <w:tc>
          <w:tcPr>
            <w:tcW w:w="3556" w:type="dxa"/>
            <w:tcBorders>
              <w:left w:val="nil"/>
              <w:bottom w:val="single" w:sz="4" w:space="0" w:color="auto"/>
            </w:tcBorders>
            <w:shd w:val="clear" w:color="auto" w:fill="auto"/>
            <w:hideMark/>
          </w:tcPr>
          <w:p w:rsidR="00F73739" w:rsidRPr="00031DD2" w:rsidRDefault="00F73739" w:rsidP="00F73739">
            <w:pPr>
              <w:spacing w:after="0" w:line="240" w:lineRule="auto"/>
              <w:jc w:val="center"/>
              <w:rPr>
                <w:szCs w:val="20"/>
              </w:rPr>
            </w:pPr>
          </w:p>
        </w:tc>
        <w:tc>
          <w:tcPr>
            <w:tcW w:w="1134" w:type="dxa"/>
            <w:tcBorders>
              <w:bottom w:val="single" w:sz="4" w:space="0" w:color="auto"/>
            </w:tcBorders>
            <w:shd w:val="clear" w:color="auto" w:fill="auto"/>
            <w:noWrap/>
            <w:hideMark/>
          </w:tcPr>
          <w:p w:rsidR="00F73739" w:rsidRPr="00031DD2" w:rsidRDefault="00F73739" w:rsidP="00F73739">
            <w:pPr>
              <w:spacing w:after="0" w:line="240" w:lineRule="auto"/>
              <w:jc w:val="center"/>
              <w:rPr>
                <w:szCs w:val="20"/>
              </w:rPr>
            </w:pPr>
            <w:r w:rsidRPr="00031DD2">
              <w:rPr>
                <w:szCs w:val="20"/>
              </w:rPr>
              <w:t>21-Jul</w:t>
            </w:r>
            <w:r w:rsidR="00664C05" w:rsidRPr="00031DD2">
              <w:rPr>
                <w:szCs w:val="20"/>
              </w:rPr>
              <w:br/>
              <w:t>Z37</w:t>
            </w:r>
          </w:p>
        </w:tc>
        <w:tc>
          <w:tcPr>
            <w:tcW w:w="1134" w:type="dxa"/>
            <w:tcBorders>
              <w:bottom w:val="single" w:sz="4" w:space="0" w:color="auto"/>
            </w:tcBorders>
          </w:tcPr>
          <w:p w:rsidR="00F73739" w:rsidRPr="00031DD2" w:rsidRDefault="00F73739" w:rsidP="00F73739">
            <w:pPr>
              <w:spacing w:after="0" w:line="240" w:lineRule="auto"/>
              <w:jc w:val="center"/>
              <w:rPr>
                <w:szCs w:val="20"/>
              </w:rPr>
            </w:pPr>
            <w:r w:rsidRPr="00031DD2">
              <w:rPr>
                <w:szCs w:val="20"/>
              </w:rPr>
              <w:t>4-Aug</w:t>
            </w:r>
            <w:r w:rsidR="00664C05" w:rsidRPr="00031DD2">
              <w:rPr>
                <w:szCs w:val="20"/>
              </w:rPr>
              <w:br/>
              <w:t>Z45</w:t>
            </w:r>
          </w:p>
        </w:tc>
        <w:tc>
          <w:tcPr>
            <w:tcW w:w="1134" w:type="dxa"/>
            <w:tcBorders>
              <w:bottom w:val="single" w:sz="4" w:space="0" w:color="auto"/>
              <w:right w:val="nil"/>
            </w:tcBorders>
          </w:tcPr>
          <w:p w:rsidR="00F73739" w:rsidRPr="00031DD2" w:rsidRDefault="00F73739" w:rsidP="00F73739">
            <w:pPr>
              <w:spacing w:after="0" w:line="240" w:lineRule="auto"/>
              <w:jc w:val="center"/>
              <w:rPr>
                <w:szCs w:val="20"/>
              </w:rPr>
            </w:pPr>
            <w:r w:rsidRPr="00031DD2">
              <w:rPr>
                <w:szCs w:val="20"/>
              </w:rPr>
              <w:t>17-Aug</w:t>
            </w:r>
          </w:p>
          <w:p w:rsidR="00664C05" w:rsidRPr="00031DD2" w:rsidRDefault="00664C05" w:rsidP="00F73739">
            <w:pPr>
              <w:spacing w:after="0" w:line="240" w:lineRule="auto"/>
              <w:jc w:val="center"/>
              <w:rPr>
                <w:szCs w:val="20"/>
              </w:rPr>
            </w:pPr>
            <w:r w:rsidRPr="00031DD2">
              <w:rPr>
                <w:szCs w:val="20"/>
              </w:rPr>
              <w:t>Z55</w:t>
            </w:r>
          </w:p>
        </w:tc>
      </w:tr>
      <w:tr w:rsidR="00F73739" w:rsidRPr="00031DD2" w:rsidTr="00357E03">
        <w:trPr>
          <w:trHeight w:val="283"/>
        </w:trPr>
        <w:tc>
          <w:tcPr>
            <w:tcW w:w="3556" w:type="dxa"/>
            <w:tcBorders>
              <w:top w:val="single" w:sz="4" w:space="0" w:color="auto"/>
              <w:left w:val="nil"/>
              <w:bottom w:val="nil"/>
            </w:tcBorders>
            <w:shd w:val="clear" w:color="auto" w:fill="auto"/>
            <w:noWrap/>
            <w:vAlign w:val="center"/>
            <w:hideMark/>
          </w:tcPr>
          <w:p w:rsidR="00F73739" w:rsidRPr="00031DD2" w:rsidRDefault="00F73739" w:rsidP="00F73739">
            <w:pPr>
              <w:spacing w:after="0" w:line="240" w:lineRule="auto"/>
              <w:rPr>
                <w:szCs w:val="20"/>
              </w:rPr>
            </w:pPr>
            <w:r w:rsidRPr="00031DD2">
              <w:rPr>
                <w:szCs w:val="20"/>
              </w:rPr>
              <w:t>Untreated</w:t>
            </w:r>
          </w:p>
        </w:tc>
        <w:tc>
          <w:tcPr>
            <w:tcW w:w="1134" w:type="dxa"/>
            <w:tcBorders>
              <w:top w:val="single" w:sz="4" w:space="0" w:color="auto"/>
              <w:bottom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70</w:t>
            </w:r>
          </w:p>
        </w:tc>
        <w:tc>
          <w:tcPr>
            <w:tcW w:w="1134" w:type="dxa"/>
            <w:tcBorders>
              <w:top w:val="single" w:sz="4" w:space="0" w:color="auto"/>
              <w:bottom w:val="nil"/>
            </w:tcBorders>
            <w:vAlign w:val="center"/>
          </w:tcPr>
          <w:p w:rsidR="00F73739" w:rsidRPr="00031DD2" w:rsidRDefault="00F73739" w:rsidP="00F73739">
            <w:pPr>
              <w:spacing w:after="0" w:line="240" w:lineRule="auto"/>
              <w:jc w:val="center"/>
              <w:rPr>
                <w:szCs w:val="20"/>
              </w:rPr>
            </w:pPr>
            <w:r w:rsidRPr="00031DD2">
              <w:rPr>
                <w:szCs w:val="20"/>
              </w:rPr>
              <w:t>77</w:t>
            </w:r>
          </w:p>
        </w:tc>
        <w:tc>
          <w:tcPr>
            <w:tcW w:w="1134" w:type="dxa"/>
            <w:tcBorders>
              <w:top w:val="single" w:sz="4" w:space="0" w:color="auto"/>
              <w:bottom w:val="nil"/>
              <w:right w:val="nil"/>
            </w:tcBorders>
            <w:vAlign w:val="center"/>
          </w:tcPr>
          <w:p w:rsidR="00F73739" w:rsidRPr="00031DD2" w:rsidRDefault="00F73739" w:rsidP="00F73739">
            <w:pPr>
              <w:spacing w:after="0" w:line="240" w:lineRule="auto"/>
              <w:jc w:val="center"/>
              <w:rPr>
                <w:szCs w:val="20"/>
              </w:rPr>
            </w:pPr>
            <w:r w:rsidRPr="00031DD2">
              <w:rPr>
                <w:szCs w:val="20"/>
              </w:rPr>
              <w:t>90</w:t>
            </w:r>
          </w:p>
        </w:tc>
      </w:tr>
      <w:tr w:rsidR="00F73739" w:rsidRPr="00031DD2" w:rsidTr="00357E03">
        <w:trPr>
          <w:trHeight w:val="283"/>
        </w:trPr>
        <w:tc>
          <w:tcPr>
            <w:tcW w:w="3556" w:type="dxa"/>
            <w:tcBorders>
              <w:top w:val="nil"/>
              <w:left w:val="nil"/>
              <w:bottom w:val="nil"/>
            </w:tcBorders>
            <w:shd w:val="clear" w:color="auto" w:fill="auto"/>
            <w:noWrap/>
            <w:vAlign w:val="center"/>
            <w:hideMark/>
          </w:tcPr>
          <w:p w:rsidR="00F73739" w:rsidRPr="00031DD2" w:rsidRDefault="00855DB8" w:rsidP="00CF4691">
            <w:pPr>
              <w:spacing w:after="0" w:line="240" w:lineRule="auto"/>
              <w:rPr>
                <w:szCs w:val="20"/>
              </w:rPr>
            </w:pPr>
            <w:r>
              <w:rPr>
                <w:szCs w:val="20"/>
              </w:rPr>
              <w:t>Fluquinconazole</w:t>
            </w:r>
            <w:r w:rsidR="00F73739" w:rsidRPr="00031DD2">
              <w:rPr>
                <w:szCs w:val="20"/>
              </w:rPr>
              <w:t xml:space="preserve"> (SD)</w:t>
            </w:r>
          </w:p>
        </w:tc>
        <w:tc>
          <w:tcPr>
            <w:tcW w:w="1134" w:type="dxa"/>
            <w:tcBorders>
              <w:top w:val="nil"/>
              <w:bottom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25</w:t>
            </w:r>
          </w:p>
        </w:tc>
        <w:tc>
          <w:tcPr>
            <w:tcW w:w="1134" w:type="dxa"/>
            <w:tcBorders>
              <w:top w:val="nil"/>
              <w:bottom w:val="nil"/>
            </w:tcBorders>
            <w:vAlign w:val="center"/>
          </w:tcPr>
          <w:p w:rsidR="00F73739" w:rsidRPr="00031DD2" w:rsidRDefault="00F73739" w:rsidP="00F73739">
            <w:pPr>
              <w:spacing w:after="0" w:line="240" w:lineRule="auto"/>
              <w:jc w:val="center"/>
              <w:rPr>
                <w:szCs w:val="20"/>
              </w:rPr>
            </w:pPr>
            <w:r w:rsidRPr="00031DD2">
              <w:rPr>
                <w:szCs w:val="20"/>
              </w:rPr>
              <w:t>51</w:t>
            </w:r>
          </w:p>
        </w:tc>
        <w:tc>
          <w:tcPr>
            <w:tcW w:w="1134" w:type="dxa"/>
            <w:tcBorders>
              <w:top w:val="nil"/>
              <w:bottom w:val="nil"/>
              <w:right w:val="nil"/>
            </w:tcBorders>
            <w:vAlign w:val="center"/>
          </w:tcPr>
          <w:p w:rsidR="00F73739" w:rsidRPr="00031DD2" w:rsidRDefault="00F73739" w:rsidP="00F73739">
            <w:pPr>
              <w:spacing w:after="0" w:line="240" w:lineRule="auto"/>
              <w:jc w:val="center"/>
              <w:rPr>
                <w:szCs w:val="20"/>
              </w:rPr>
            </w:pPr>
            <w:r w:rsidRPr="00031DD2">
              <w:rPr>
                <w:szCs w:val="20"/>
              </w:rPr>
              <w:t>67</w:t>
            </w:r>
          </w:p>
        </w:tc>
      </w:tr>
      <w:tr w:rsidR="00F73739" w:rsidRPr="00031DD2" w:rsidTr="00357E03">
        <w:trPr>
          <w:trHeight w:val="283"/>
        </w:trPr>
        <w:tc>
          <w:tcPr>
            <w:tcW w:w="3556" w:type="dxa"/>
            <w:tcBorders>
              <w:top w:val="nil"/>
              <w:left w:val="nil"/>
              <w:bottom w:val="nil"/>
            </w:tcBorders>
            <w:shd w:val="clear" w:color="auto" w:fill="auto"/>
            <w:noWrap/>
            <w:vAlign w:val="center"/>
            <w:hideMark/>
          </w:tcPr>
          <w:p w:rsidR="00F73739" w:rsidRPr="00031DD2" w:rsidRDefault="00855DB8" w:rsidP="00CF4691">
            <w:pPr>
              <w:spacing w:after="0" w:line="240" w:lineRule="auto"/>
              <w:rPr>
                <w:szCs w:val="20"/>
              </w:rPr>
            </w:pPr>
            <w:r>
              <w:rPr>
                <w:szCs w:val="20"/>
              </w:rPr>
              <w:t>Fluxapyroxad</w:t>
            </w:r>
            <w:r w:rsidRPr="00031DD2">
              <w:rPr>
                <w:szCs w:val="20"/>
              </w:rPr>
              <w:t xml:space="preserve">  </w:t>
            </w:r>
            <w:r w:rsidR="00F73739" w:rsidRPr="00031DD2">
              <w:rPr>
                <w:szCs w:val="20"/>
              </w:rPr>
              <w:t>(SD)</w:t>
            </w:r>
          </w:p>
        </w:tc>
        <w:tc>
          <w:tcPr>
            <w:tcW w:w="1134" w:type="dxa"/>
            <w:tcBorders>
              <w:top w:val="nil"/>
              <w:bottom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70</w:t>
            </w:r>
          </w:p>
        </w:tc>
        <w:tc>
          <w:tcPr>
            <w:tcW w:w="1134" w:type="dxa"/>
            <w:tcBorders>
              <w:top w:val="nil"/>
              <w:bottom w:val="nil"/>
            </w:tcBorders>
            <w:vAlign w:val="center"/>
          </w:tcPr>
          <w:p w:rsidR="00F73739" w:rsidRPr="00031DD2" w:rsidRDefault="00F73739" w:rsidP="00F73739">
            <w:pPr>
              <w:spacing w:after="0" w:line="240" w:lineRule="auto"/>
              <w:jc w:val="center"/>
              <w:rPr>
                <w:szCs w:val="20"/>
              </w:rPr>
            </w:pPr>
            <w:r w:rsidRPr="00031DD2">
              <w:rPr>
                <w:szCs w:val="20"/>
              </w:rPr>
              <w:t>69</w:t>
            </w:r>
          </w:p>
        </w:tc>
        <w:tc>
          <w:tcPr>
            <w:tcW w:w="1134" w:type="dxa"/>
            <w:tcBorders>
              <w:top w:val="nil"/>
              <w:bottom w:val="nil"/>
              <w:right w:val="nil"/>
            </w:tcBorders>
            <w:vAlign w:val="center"/>
          </w:tcPr>
          <w:p w:rsidR="00F73739" w:rsidRPr="00031DD2" w:rsidRDefault="00F73739" w:rsidP="00F73739">
            <w:pPr>
              <w:spacing w:after="0" w:line="240" w:lineRule="auto"/>
              <w:jc w:val="center"/>
              <w:rPr>
                <w:szCs w:val="20"/>
              </w:rPr>
            </w:pPr>
            <w:r w:rsidRPr="00031DD2">
              <w:rPr>
                <w:szCs w:val="20"/>
              </w:rPr>
              <w:t>77</w:t>
            </w:r>
          </w:p>
        </w:tc>
      </w:tr>
      <w:tr w:rsidR="00F73739" w:rsidRPr="00031DD2" w:rsidTr="00357E03">
        <w:trPr>
          <w:trHeight w:val="283"/>
        </w:trPr>
        <w:tc>
          <w:tcPr>
            <w:tcW w:w="3556" w:type="dxa"/>
            <w:tcBorders>
              <w:top w:val="nil"/>
              <w:left w:val="nil"/>
              <w:bottom w:val="nil"/>
            </w:tcBorders>
            <w:shd w:val="clear" w:color="auto" w:fill="auto"/>
            <w:noWrap/>
            <w:vAlign w:val="center"/>
            <w:hideMark/>
          </w:tcPr>
          <w:p w:rsidR="00F73739" w:rsidRPr="00031DD2" w:rsidRDefault="00855DB8" w:rsidP="00855DB8">
            <w:pPr>
              <w:spacing w:after="0" w:line="240" w:lineRule="auto"/>
              <w:rPr>
                <w:szCs w:val="20"/>
              </w:rPr>
            </w:pPr>
            <w:r>
              <w:rPr>
                <w:szCs w:val="20"/>
              </w:rPr>
              <w:t>Triadimenol</w:t>
            </w:r>
            <w:r w:rsidR="00F73739" w:rsidRPr="00031DD2">
              <w:rPr>
                <w:szCs w:val="20"/>
              </w:rPr>
              <w:t xml:space="preserve"> (SD)</w:t>
            </w:r>
          </w:p>
        </w:tc>
        <w:tc>
          <w:tcPr>
            <w:tcW w:w="1134" w:type="dxa"/>
            <w:tcBorders>
              <w:top w:val="nil"/>
              <w:bottom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10</w:t>
            </w:r>
          </w:p>
        </w:tc>
        <w:tc>
          <w:tcPr>
            <w:tcW w:w="1134" w:type="dxa"/>
            <w:tcBorders>
              <w:top w:val="nil"/>
              <w:bottom w:val="nil"/>
            </w:tcBorders>
            <w:vAlign w:val="center"/>
          </w:tcPr>
          <w:p w:rsidR="00F73739" w:rsidRPr="00031DD2" w:rsidRDefault="00F73739" w:rsidP="00F73739">
            <w:pPr>
              <w:spacing w:after="0" w:line="240" w:lineRule="auto"/>
              <w:jc w:val="center"/>
              <w:rPr>
                <w:szCs w:val="20"/>
              </w:rPr>
            </w:pPr>
            <w:r w:rsidRPr="00031DD2">
              <w:rPr>
                <w:szCs w:val="20"/>
              </w:rPr>
              <w:t>40</w:t>
            </w:r>
          </w:p>
        </w:tc>
        <w:tc>
          <w:tcPr>
            <w:tcW w:w="1134" w:type="dxa"/>
            <w:tcBorders>
              <w:top w:val="nil"/>
              <w:bottom w:val="nil"/>
              <w:right w:val="nil"/>
            </w:tcBorders>
            <w:vAlign w:val="center"/>
          </w:tcPr>
          <w:p w:rsidR="00F73739" w:rsidRPr="00031DD2" w:rsidRDefault="00F73739" w:rsidP="00F73739">
            <w:pPr>
              <w:spacing w:after="0" w:line="240" w:lineRule="auto"/>
              <w:jc w:val="center"/>
              <w:rPr>
                <w:szCs w:val="20"/>
              </w:rPr>
            </w:pPr>
            <w:r w:rsidRPr="00031DD2">
              <w:rPr>
                <w:szCs w:val="20"/>
              </w:rPr>
              <w:t>60</w:t>
            </w:r>
          </w:p>
        </w:tc>
      </w:tr>
      <w:tr w:rsidR="00F73739" w:rsidRPr="00031DD2" w:rsidTr="00357E03">
        <w:trPr>
          <w:trHeight w:val="283"/>
        </w:trPr>
        <w:tc>
          <w:tcPr>
            <w:tcW w:w="3556" w:type="dxa"/>
            <w:tcBorders>
              <w:top w:val="nil"/>
              <w:left w:val="nil"/>
              <w:bottom w:val="nil"/>
            </w:tcBorders>
            <w:shd w:val="clear" w:color="auto" w:fill="auto"/>
            <w:noWrap/>
            <w:vAlign w:val="center"/>
            <w:hideMark/>
          </w:tcPr>
          <w:p w:rsidR="00F73739" w:rsidRPr="00031DD2" w:rsidRDefault="00F73739" w:rsidP="00855DB8">
            <w:pPr>
              <w:spacing w:after="0" w:line="240" w:lineRule="auto"/>
              <w:rPr>
                <w:szCs w:val="20"/>
              </w:rPr>
            </w:pPr>
            <w:r w:rsidRPr="00031DD2">
              <w:rPr>
                <w:szCs w:val="20"/>
              </w:rPr>
              <w:t>Flutriafol (IF)</w:t>
            </w:r>
          </w:p>
        </w:tc>
        <w:tc>
          <w:tcPr>
            <w:tcW w:w="1134" w:type="dxa"/>
            <w:tcBorders>
              <w:top w:val="nil"/>
              <w:bottom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5</w:t>
            </w:r>
          </w:p>
        </w:tc>
        <w:tc>
          <w:tcPr>
            <w:tcW w:w="1134" w:type="dxa"/>
            <w:tcBorders>
              <w:top w:val="nil"/>
              <w:bottom w:val="nil"/>
            </w:tcBorders>
            <w:vAlign w:val="center"/>
          </w:tcPr>
          <w:p w:rsidR="00F73739" w:rsidRPr="00031DD2" w:rsidRDefault="00F73739" w:rsidP="00F73739">
            <w:pPr>
              <w:spacing w:after="0" w:line="240" w:lineRule="auto"/>
              <w:jc w:val="center"/>
              <w:rPr>
                <w:szCs w:val="20"/>
              </w:rPr>
            </w:pPr>
            <w:r w:rsidRPr="00031DD2">
              <w:rPr>
                <w:szCs w:val="20"/>
              </w:rPr>
              <w:t>51</w:t>
            </w:r>
          </w:p>
        </w:tc>
        <w:tc>
          <w:tcPr>
            <w:tcW w:w="1134" w:type="dxa"/>
            <w:tcBorders>
              <w:top w:val="nil"/>
              <w:bottom w:val="nil"/>
              <w:right w:val="nil"/>
            </w:tcBorders>
            <w:vAlign w:val="center"/>
          </w:tcPr>
          <w:p w:rsidR="00F73739" w:rsidRPr="00031DD2" w:rsidRDefault="00F73739" w:rsidP="00F73739">
            <w:pPr>
              <w:spacing w:after="0" w:line="240" w:lineRule="auto"/>
              <w:jc w:val="center"/>
              <w:rPr>
                <w:szCs w:val="20"/>
              </w:rPr>
            </w:pPr>
            <w:r w:rsidRPr="00031DD2">
              <w:rPr>
                <w:szCs w:val="20"/>
              </w:rPr>
              <w:t>53</w:t>
            </w:r>
          </w:p>
        </w:tc>
      </w:tr>
      <w:tr w:rsidR="00F73739" w:rsidRPr="00031DD2" w:rsidTr="00357E03">
        <w:trPr>
          <w:trHeight w:val="283"/>
        </w:trPr>
        <w:tc>
          <w:tcPr>
            <w:tcW w:w="3556" w:type="dxa"/>
            <w:tcBorders>
              <w:top w:val="nil"/>
              <w:left w:val="nil"/>
              <w:bottom w:val="nil"/>
            </w:tcBorders>
            <w:shd w:val="clear" w:color="auto" w:fill="auto"/>
            <w:noWrap/>
            <w:vAlign w:val="center"/>
            <w:hideMark/>
          </w:tcPr>
          <w:p w:rsidR="00F73739" w:rsidRPr="00031DD2" w:rsidRDefault="00F73739" w:rsidP="00855DB8">
            <w:pPr>
              <w:spacing w:after="0" w:line="240" w:lineRule="auto"/>
              <w:rPr>
                <w:szCs w:val="20"/>
              </w:rPr>
            </w:pPr>
            <w:r w:rsidRPr="00031DD2">
              <w:rPr>
                <w:szCs w:val="20"/>
              </w:rPr>
              <w:t>Triadimefon</w:t>
            </w:r>
            <w:r w:rsidR="00F93D6A" w:rsidRPr="00031DD2">
              <w:rPr>
                <w:szCs w:val="20"/>
              </w:rPr>
              <w:t xml:space="preserve"> </w:t>
            </w:r>
            <w:r w:rsidRPr="00031DD2">
              <w:rPr>
                <w:szCs w:val="20"/>
              </w:rPr>
              <w:t>(IF)</w:t>
            </w:r>
          </w:p>
        </w:tc>
        <w:tc>
          <w:tcPr>
            <w:tcW w:w="1134" w:type="dxa"/>
            <w:tcBorders>
              <w:top w:val="nil"/>
              <w:bottom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25</w:t>
            </w:r>
          </w:p>
        </w:tc>
        <w:tc>
          <w:tcPr>
            <w:tcW w:w="1134" w:type="dxa"/>
            <w:tcBorders>
              <w:top w:val="nil"/>
              <w:bottom w:val="nil"/>
            </w:tcBorders>
            <w:vAlign w:val="center"/>
          </w:tcPr>
          <w:p w:rsidR="00F73739" w:rsidRPr="00031DD2" w:rsidRDefault="00F73739" w:rsidP="00F73739">
            <w:pPr>
              <w:spacing w:after="0" w:line="240" w:lineRule="auto"/>
              <w:jc w:val="center"/>
              <w:rPr>
                <w:szCs w:val="20"/>
              </w:rPr>
            </w:pPr>
            <w:r w:rsidRPr="00031DD2">
              <w:rPr>
                <w:szCs w:val="20"/>
              </w:rPr>
              <w:t>47</w:t>
            </w:r>
          </w:p>
        </w:tc>
        <w:tc>
          <w:tcPr>
            <w:tcW w:w="1134" w:type="dxa"/>
            <w:tcBorders>
              <w:top w:val="nil"/>
              <w:bottom w:val="nil"/>
              <w:right w:val="nil"/>
            </w:tcBorders>
            <w:vAlign w:val="center"/>
          </w:tcPr>
          <w:p w:rsidR="00F73739" w:rsidRPr="00031DD2" w:rsidRDefault="00F73739" w:rsidP="00F73739">
            <w:pPr>
              <w:spacing w:after="0" w:line="240" w:lineRule="auto"/>
              <w:jc w:val="center"/>
              <w:rPr>
                <w:szCs w:val="20"/>
              </w:rPr>
            </w:pPr>
            <w:r w:rsidRPr="00031DD2">
              <w:rPr>
                <w:szCs w:val="20"/>
              </w:rPr>
              <w:t>73</w:t>
            </w:r>
          </w:p>
        </w:tc>
      </w:tr>
      <w:tr w:rsidR="00F73739" w:rsidRPr="00031DD2" w:rsidTr="00357E03">
        <w:trPr>
          <w:trHeight w:val="283"/>
        </w:trPr>
        <w:tc>
          <w:tcPr>
            <w:tcW w:w="3556" w:type="dxa"/>
            <w:tcBorders>
              <w:top w:val="nil"/>
              <w:left w:val="nil"/>
              <w:bottom w:val="nil"/>
            </w:tcBorders>
            <w:shd w:val="clear" w:color="auto" w:fill="auto"/>
            <w:noWrap/>
            <w:vAlign w:val="center"/>
            <w:hideMark/>
          </w:tcPr>
          <w:p w:rsidR="00F73739" w:rsidRPr="00031DD2" w:rsidRDefault="00855DB8" w:rsidP="00CF4691">
            <w:pPr>
              <w:spacing w:after="0" w:line="240" w:lineRule="auto"/>
              <w:rPr>
                <w:szCs w:val="20"/>
              </w:rPr>
            </w:pPr>
            <w:r>
              <w:rPr>
                <w:szCs w:val="20"/>
              </w:rPr>
              <w:t>Azoxystrobin+metalaxyl</w:t>
            </w:r>
            <w:r w:rsidRPr="00031DD2">
              <w:rPr>
                <w:szCs w:val="20"/>
              </w:rPr>
              <w:t xml:space="preserve"> </w:t>
            </w:r>
            <w:r w:rsidR="00F73739" w:rsidRPr="00031DD2">
              <w:rPr>
                <w:szCs w:val="20"/>
              </w:rPr>
              <w:t>(IF)</w:t>
            </w:r>
          </w:p>
        </w:tc>
        <w:tc>
          <w:tcPr>
            <w:tcW w:w="1134" w:type="dxa"/>
            <w:tcBorders>
              <w:top w:val="nil"/>
              <w:bottom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65</w:t>
            </w:r>
          </w:p>
        </w:tc>
        <w:tc>
          <w:tcPr>
            <w:tcW w:w="1134" w:type="dxa"/>
            <w:tcBorders>
              <w:top w:val="nil"/>
              <w:bottom w:val="nil"/>
            </w:tcBorders>
            <w:vAlign w:val="center"/>
          </w:tcPr>
          <w:p w:rsidR="00F73739" w:rsidRPr="00031DD2" w:rsidRDefault="00F73739" w:rsidP="00F73739">
            <w:pPr>
              <w:spacing w:after="0" w:line="240" w:lineRule="auto"/>
              <w:jc w:val="center"/>
              <w:rPr>
                <w:szCs w:val="20"/>
              </w:rPr>
            </w:pPr>
            <w:r w:rsidRPr="00031DD2">
              <w:rPr>
                <w:szCs w:val="20"/>
              </w:rPr>
              <w:t>80</w:t>
            </w:r>
          </w:p>
        </w:tc>
        <w:tc>
          <w:tcPr>
            <w:tcW w:w="1134" w:type="dxa"/>
            <w:tcBorders>
              <w:top w:val="nil"/>
              <w:bottom w:val="nil"/>
              <w:right w:val="nil"/>
            </w:tcBorders>
            <w:vAlign w:val="center"/>
          </w:tcPr>
          <w:p w:rsidR="00F73739" w:rsidRPr="00031DD2" w:rsidRDefault="00F73739" w:rsidP="00F73739">
            <w:pPr>
              <w:spacing w:after="0" w:line="240" w:lineRule="auto"/>
              <w:jc w:val="center"/>
              <w:rPr>
                <w:szCs w:val="20"/>
              </w:rPr>
            </w:pPr>
            <w:r w:rsidRPr="00031DD2">
              <w:rPr>
                <w:szCs w:val="20"/>
              </w:rPr>
              <w:t>65</w:t>
            </w:r>
          </w:p>
        </w:tc>
      </w:tr>
      <w:tr w:rsidR="00F73739" w:rsidRPr="00031DD2" w:rsidTr="00357E03">
        <w:trPr>
          <w:trHeight w:val="283"/>
        </w:trPr>
        <w:tc>
          <w:tcPr>
            <w:tcW w:w="3556" w:type="dxa"/>
            <w:tcBorders>
              <w:top w:val="nil"/>
              <w:left w:val="nil"/>
              <w:bottom w:val="nil"/>
            </w:tcBorders>
            <w:shd w:val="clear" w:color="auto" w:fill="auto"/>
            <w:noWrap/>
            <w:vAlign w:val="center"/>
            <w:hideMark/>
          </w:tcPr>
          <w:p w:rsidR="00F73739" w:rsidRPr="00031DD2" w:rsidRDefault="00F73739" w:rsidP="00CF4691">
            <w:pPr>
              <w:spacing w:after="0" w:line="240" w:lineRule="auto"/>
              <w:rPr>
                <w:szCs w:val="20"/>
              </w:rPr>
            </w:pPr>
            <w:r w:rsidRPr="00031DD2">
              <w:rPr>
                <w:szCs w:val="20"/>
              </w:rPr>
              <w:t>Prosaro</w:t>
            </w:r>
            <w:r w:rsidR="00855DB8" w:rsidRPr="00357E03">
              <w:rPr>
                <w:szCs w:val="20"/>
                <w:vertAlign w:val="superscript"/>
              </w:rPr>
              <w:t>®</w:t>
            </w:r>
            <w:r w:rsidRPr="00031DD2">
              <w:rPr>
                <w:szCs w:val="20"/>
              </w:rPr>
              <w:t xml:space="preserve"> 150ml -Z30</w:t>
            </w:r>
          </w:p>
        </w:tc>
        <w:tc>
          <w:tcPr>
            <w:tcW w:w="1134" w:type="dxa"/>
            <w:tcBorders>
              <w:top w:val="nil"/>
              <w:bottom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5</w:t>
            </w:r>
          </w:p>
        </w:tc>
        <w:tc>
          <w:tcPr>
            <w:tcW w:w="1134" w:type="dxa"/>
            <w:tcBorders>
              <w:top w:val="nil"/>
              <w:bottom w:val="nil"/>
            </w:tcBorders>
            <w:vAlign w:val="center"/>
          </w:tcPr>
          <w:p w:rsidR="00F73739" w:rsidRPr="00031DD2" w:rsidRDefault="00F73739" w:rsidP="00F73739">
            <w:pPr>
              <w:spacing w:after="0" w:line="240" w:lineRule="auto"/>
              <w:jc w:val="center"/>
              <w:rPr>
                <w:szCs w:val="20"/>
              </w:rPr>
            </w:pPr>
            <w:r w:rsidRPr="00031DD2">
              <w:rPr>
                <w:szCs w:val="20"/>
              </w:rPr>
              <w:t>38</w:t>
            </w:r>
          </w:p>
        </w:tc>
        <w:tc>
          <w:tcPr>
            <w:tcW w:w="1134" w:type="dxa"/>
            <w:tcBorders>
              <w:top w:val="nil"/>
              <w:bottom w:val="nil"/>
              <w:right w:val="nil"/>
            </w:tcBorders>
            <w:vAlign w:val="center"/>
          </w:tcPr>
          <w:p w:rsidR="00F73739" w:rsidRPr="00031DD2" w:rsidRDefault="00F73739" w:rsidP="00F73739">
            <w:pPr>
              <w:spacing w:after="0" w:line="240" w:lineRule="auto"/>
              <w:jc w:val="center"/>
              <w:rPr>
                <w:szCs w:val="20"/>
              </w:rPr>
            </w:pPr>
            <w:r w:rsidRPr="00031DD2">
              <w:rPr>
                <w:szCs w:val="20"/>
              </w:rPr>
              <w:t>47</w:t>
            </w:r>
          </w:p>
        </w:tc>
      </w:tr>
      <w:tr w:rsidR="00F73739" w:rsidRPr="00031DD2" w:rsidTr="00357E03">
        <w:trPr>
          <w:trHeight w:val="283"/>
        </w:trPr>
        <w:tc>
          <w:tcPr>
            <w:tcW w:w="3556" w:type="dxa"/>
            <w:tcBorders>
              <w:top w:val="nil"/>
              <w:left w:val="nil"/>
              <w:bottom w:val="nil"/>
            </w:tcBorders>
            <w:shd w:val="clear" w:color="auto" w:fill="auto"/>
            <w:noWrap/>
            <w:vAlign w:val="center"/>
            <w:hideMark/>
          </w:tcPr>
          <w:p w:rsidR="00F73739" w:rsidRPr="00031DD2" w:rsidRDefault="00F73739" w:rsidP="00CF4691">
            <w:pPr>
              <w:spacing w:after="0" w:line="240" w:lineRule="auto"/>
              <w:rPr>
                <w:szCs w:val="20"/>
              </w:rPr>
            </w:pPr>
            <w:r w:rsidRPr="00031DD2">
              <w:rPr>
                <w:szCs w:val="20"/>
              </w:rPr>
              <w:t>Prosaro</w:t>
            </w:r>
            <w:r w:rsidR="00855DB8" w:rsidRPr="00F87E89">
              <w:rPr>
                <w:szCs w:val="20"/>
                <w:vertAlign w:val="superscript"/>
              </w:rPr>
              <w:t>®</w:t>
            </w:r>
            <w:r w:rsidRPr="00031DD2">
              <w:rPr>
                <w:szCs w:val="20"/>
              </w:rPr>
              <w:t xml:space="preserve"> 150mL </w:t>
            </w:r>
            <w:r w:rsidR="00664C05" w:rsidRPr="00031DD2">
              <w:rPr>
                <w:szCs w:val="20"/>
              </w:rPr>
              <w:t>–Z45</w:t>
            </w:r>
          </w:p>
        </w:tc>
        <w:tc>
          <w:tcPr>
            <w:tcW w:w="1134" w:type="dxa"/>
            <w:tcBorders>
              <w:top w:val="nil"/>
              <w:bottom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w:t>
            </w:r>
          </w:p>
        </w:tc>
        <w:tc>
          <w:tcPr>
            <w:tcW w:w="1134" w:type="dxa"/>
            <w:tcBorders>
              <w:top w:val="nil"/>
              <w:bottom w:val="nil"/>
            </w:tcBorders>
            <w:vAlign w:val="center"/>
          </w:tcPr>
          <w:p w:rsidR="00F73739" w:rsidRPr="00031DD2" w:rsidRDefault="00F73739" w:rsidP="00F73739">
            <w:pPr>
              <w:spacing w:after="0" w:line="240" w:lineRule="auto"/>
              <w:jc w:val="center"/>
              <w:rPr>
                <w:szCs w:val="20"/>
              </w:rPr>
            </w:pPr>
            <w:r w:rsidRPr="00031DD2">
              <w:rPr>
                <w:szCs w:val="20"/>
              </w:rPr>
              <w:t>-</w:t>
            </w:r>
          </w:p>
        </w:tc>
        <w:tc>
          <w:tcPr>
            <w:tcW w:w="1134" w:type="dxa"/>
            <w:tcBorders>
              <w:top w:val="nil"/>
              <w:bottom w:val="nil"/>
              <w:right w:val="nil"/>
            </w:tcBorders>
            <w:vAlign w:val="center"/>
          </w:tcPr>
          <w:p w:rsidR="00F73739" w:rsidRPr="00031DD2" w:rsidRDefault="00F73739" w:rsidP="00F73739">
            <w:pPr>
              <w:spacing w:after="0" w:line="240" w:lineRule="auto"/>
              <w:jc w:val="center"/>
              <w:rPr>
                <w:szCs w:val="20"/>
              </w:rPr>
            </w:pPr>
            <w:r w:rsidRPr="00031DD2">
              <w:rPr>
                <w:szCs w:val="20"/>
              </w:rPr>
              <w:t>47</w:t>
            </w:r>
          </w:p>
        </w:tc>
      </w:tr>
      <w:tr w:rsidR="00F73739" w:rsidRPr="00031DD2" w:rsidTr="00357E03">
        <w:trPr>
          <w:trHeight w:val="227"/>
        </w:trPr>
        <w:tc>
          <w:tcPr>
            <w:tcW w:w="3556" w:type="dxa"/>
            <w:tcBorders>
              <w:top w:val="nil"/>
              <w:left w:val="nil"/>
              <w:bottom w:val="nil"/>
            </w:tcBorders>
            <w:shd w:val="clear" w:color="auto" w:fill="auto"/>
            <w:noWrap/>
            <w:vAlign w:val="center"/>
            <w:hideMark/>
          </w:tcPr>
          <w:p w:rsidR="00F73739" w:rsidRPr="00031DD2" w:rsidRDefault="00F73739" w:rsidP="00F73739">
            <w:pPr>
              <w:spacing w:after="0" w:line="240" w:lineRule="auto"/>
              <w:rPr>
                <w:szCs w:val="20"/>
              </w:rPr>
            </w:pPr>
          </w:p>
        </w:tc>
        <w:tc>
          <w:tcPr>
            <w:tcW w:w="1134" w:type="dxa"/>
            <w:tcBorders>
              <w:top w:val="nil"/>
              <w:bottom w:val="nil"/>
            </w:tcBorders>
            <w:shd w:val="clear" w:color="auto" w:fill="auto"/>
            <w:noWrap/>
            <w:vAlign w:val="center"/>
            <w:hideMark/>
          </w:tcPr>
          <w:p w:rsidR="00F73739" w:rsidRPr="00031DD2" w:rsidRDefault="00F73739" w:rsidP="00F73739">
            <w:pPr>
              <w:spacing w:after="0" w:line="240" w:lineRule="auto"/>
              <w:jc w:val="center"/>
              <w:rPr>
                <w:szCs w:val="20"/>
              </w:rPr>
            </w:pPr>
          </w:p>
        </w:tc>
        <w:tc>
          <w:tcPr>
            <w:tcW w:w="1134" w:type="dxa"/>
            <w:tcBorders>
              <w:top w:val="nil"/>
              <w:bottom w:val="nil"/>
            </w:tcBorders>
            <w:vAlign w:val="center"/>
          </w:tcPr>
          <w:p w:rsidR="00F73739" w:rsidRPr="00031DD2" w:rsidRDefault="00F73739" w:rsidP="00F73739">
            <w:pPr>
              <w:spacing w:after="0" w:line="240" w:lineRule="auto"/>
              <w:jc w:val="center"/>
              <w:rPr>
                <w:szCs w:val="20"/>
              </w:rPr>
            </w:pPr>
          </w:p>
        </w:tc>
        <w:tc>
          <w:tcPr>
            <w:tcW w:w="1134" w:type="dxa"/>
            <w:tcBorders>
              <w:top w:val="nil"/>
              <w:bottom w:val="nil"/>
              <w:right w:val="nil"/>
            </w:tcBorders>
            <w:vAlign w:val="center"/>
          </w:tcPr>
          <w:p w:rsidR="00F73739" w:rsidRPr="00031DD2" w:rsidRDefault="00F73739" w:rsidP="00F73739">
            <w:pPr>
              <w:spacing w:after="0" w:line="240" w:lineRule="auto"/>
              <w:jc w:val="center"/>
              <w:rPr>
                <w:szCs w:val="20"/>
              </w:rPr>
            </w:pPr>
          </w:p>
        </w:tc>
      </w:tr>
      <w:tr w:rsidR="00F73739" w:rsidRPr="00031DD2" w:rsidTr="00357E03">
        <w:trPr>
          <w:trHeight w:val="283"/>
        </w:trPr>
        <w:tc>
          <w:tcPr>
            <w:tcW w:w="3556" w:type="dxa"/>
            <w:tcBorders>
              <w:top w:val="nil"/>
              <w:left w:val="nil"/>
            </w:tcBorders>
            <w:shd w:val="clear" w:color="auto" w:fill="auto"/>
            <w:noWrap/>
            <w:vAlign w:val="center"/>
            <w:hideMark/>
          </w:tcPr>
          <w:p w:rsidR="00F73739" w:rsidRPr="00031DD2" w:rsidRDefault="00F73739" w:rsidP="00F73739">
            <w:pPr>
              <w:spacing w:after="0" w:line="240" w:lineRule="auto"/>
              <w:rPr>
                <w:szCs w:val="20"/>
              </w:rPr>
            </w:pPr>
            <w:r w:rsidRPr="00031DD2">
              <w:rPr>
                <w:szCs w:val="20"/>
              </w:rPr>
              <w:t>p</w:t>
            </w:r>
            <w:r w:rsidR="0077044E" w:rsidRPr="00031DD2">
              <w:rPr>
                <w:szCs w:val="20"/>
              </w:rPr>
              <w:t>-value</w:t>
            </w:r>
          </w:p>
        </w:tc>
        <w:tc>
          <w:tcPr>
            <w:tcW w:w="1134" w:type="dxa"/>
            <w:tcBorders>
              <w:top w:val="nil"/>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0.063</w:t>
            </w:r>
          </w:p>
        </w:tc>
        <w:tc>
          <w:tcPr>
            <w:tcW w:w="1134" w:type="dxa"/>
            <w:tcBorders>
              <w:top w:val="nil"/>
            </w:tcBorders>
            <w:vAlign w:val="center"/>
          </w:tcPr>
          <w:p w:rsidR="00F73739" w:rsidRPr="00031DD2" w:rsidRDefault="00F73739" w:rsidP="00F73739">
            <w:pPr>
              <w:spacing w:after="0" w:line="240" w:lineRule="auto"/>
              <w:jc w:val="center"/>
              <w:rPr>
                <w:szCs w:val="20"/>
              </w:rPr>
            </w:pPr>
            <w:r w:rsidRPr="00031DD2">
              <w:rPr>
                <w:szCs w:val="20"/>
              </w:rPr>
              <w:t>0.012</w:t>
            </w:r>
          </w:p>
        </w:tc>
        <w:tc>
          <w:tcPr>
            <w:tcW w:w="1134" w:type="dxa"/>
            <w:tcBorders>
              <w:top w:val="nil"/>
              <w:right w:val="nil"/>
            </w:tcBorders>
            <w:vAlign w:val="center"/>
          </w:tcPr>
          <w:p w:rsidR="00F73739" w:rsidRPr="00031DD2" w:rsidRDefault="00F73739" w:rsidP="00F73739">
            <w:pPr>
              <w:spacing w:after="0" w:line="240" w:lineRule="auto"/>
              <w:jc w:val="center"/>
              <w:rPr>
                <w:szCs w:val="20"/>
              </w:rPr>
            </w:pPr>
            <w:r w:rsidRPr="00031DD2">
              <w:rPr>
                <w:szCs w:val="20"/>
              </w:rPr>
              <w:t>0.002</w:t>
            </w:r>
          </w:p>
        </w:tc>
      </w:tr>
      <w:tr w:rsidR="00F73739" w:rsidRPr="00031DD2" w:rsidTr="00357E03">
        <w:trPr>
          <w:trHeight w:val="283"/>
        </w:trPr>
        <w:tc>
          <w:tcPr>
            <w:tcW w:w="3556" w:type="dxa"/>
            <w:tcBorders>
              <w:top w:val="nil"/>
              <w:left w:val="nil"/>
              <w:bottom w:val="single" w:sz="4" w:space="0" w:color="auto"/>
            </w:tcBorders>
            <w:shd w:val="clear" w:color="auto" w:fill="auto"/>
            <w:noWrap/>
            <w:vAlign w:val="center"/>
            <w:hideMark/>
          </w:tcPr>
          <w:p w:rsidR="00F73739" w:rsidRPr="00031DD2" w:rsidRDefault="0077044E" w:rsidP="00F73739">
            <w:pPr>
              <w:spacing w:after="0" w:line="240" w:lineRule="auto"/>
              <w:rPr>
                <w:szCs w:val="20"/>
              </w:rPr>
            </w:pPr>
            <w:r w:rsidRPr="00031DD2">
              <w:rPr>
                <w:szCs w:val="20"/>
              </w:rPr>
              <w:t>L</w:t>
            </w:r>
            <w:r w:rsidR="00F73739" w:rsidRPr="00031DD2">
              <w:rPr>
                <w:szCs w:val="20"/>
              </w:rPr>
              <w:t>sd</w:t>
            </w:r>
            <w:r w:rsidRPr="00031DD2">
              <w:rPr>
                <w:szCs w:val="20"/>
              </w:rPr>
              <w:t xml:space="preserve"> (5%)</w:t>
            </w:r>
          </w:p>
        </w:tc>
        <w:tc>
          <w:tcPr>
            <w:tcW w:w="1134" w:type="dxa"/>
            <w:tcBorders>
              <w:top w:val="nil"/>
              <w:bottom w:val="single" w:sz="4" w:space="0" w:color="auto"/>
            </w:tcBorders>
            <w:shd w:val="clear" w:color="auto" w:fill="auto"/>
            <w:noWrap/>
            <w:vAlign w:val="center"/>
            <w:hideMark/>
          </w:tcPr>
          <w:p w:rsidR="00F73739" w:rsidRPr="00031DD2" w:rsidRDefault="00F73739" w:rsidP="00F73739">
            <w:pPr>
              <w:spacing w:after="0" w:line="240" w:lineRule="auto"/>
              <w:jc w:val="center"/>
              <w:rPr>
                <w:szCs w:val="20"/>
              </w:rPr>
            </w:pPr>
            <w:r w:rsidRPr="00031DD2">
              <w:rPr>
                <w:szCs w:val="20"/>
              </w:rPr>
              <w:t>51</w:t>
            </w:r>
          </w:p>
        </w:tc>
        <w:tc>
          <w:tcPr>
            <w:tcW w:w="1134" w:type="dxa"/>
            <w:tcBorders>
              <w:top w:val="nil"/>
              <w:bottom w:val="single" w:sz="4" w:space="0" w:color="auto"/>
            </w:tcBorders>
            <w:vAlign w:val="center"/>
          </w:tcPr>
          <w:p w:rsidR="00F73739" w:rsidRPr="00031DD2" w:rsidRDefault="00F73739" w:rsidP="00F73739">
            <w:pPr>
              <w:spacing w:after="0" w:line="240" w:lineRule="auto"/>
              <w:jc w:val="center"/>
              <w:rPr>
                <w:szCs w:val="20"/>
              </w:rPr>
            </w:pPr>
            <w:r w:rsidRPr="00031DD2">
              <w:rPr>
                <w:szCs w:val="20"/>
              </w:rPr>
              <w:t>23</w:t>
            </w:r>
          </w:p>
        </w:tc>
        <w:tc>
          <w:tcPr>
            <w:tcW w:w="1134" w:type="dxa"/>
            <w:tcBorders>
              <w:top w:val="nil"/>
              <w:bottom w:val="single" w:sz="4" w:space="0" w:color="auto"/>
              <w:right w:val="nil"/>
            </w:tcBorders>
            <w:vAlign w:val="center"/>
          </w:tcPr>
          <w:p w:rsidR="00F73739" w:rsidRPr="00031DD2" w:rsidRDefault="00F73739" w:rsidP="00F73739">
            <w:pPr>
              <w:spacing w:after="0" w:line="240" w:lineRule="auto"/>
              <w:jc w:val="center"/>
              <w:rPr>
                <w:szCs w:val="20"/>
              </w:rPr>
            </w:pPr>
            <w:r w:rsidRPr="00031DD2">
              <w:rPr>
                <w:szCs w:val="20"/>
              </w:rPr>
              <w:t>19</w:t>
            </w:r>
          </w:p>
        </w:tc>
      </w:tr>
    </w:tbl>
    <w:p w:rsidR="00F73739" w:rsidRPr="0077044E" w:rsidRDefault="003B08D9" w:rsidP="00F73739">
      <w:pPr>
        <w:tabs>
          <w:tab w:val="left" w:pos="0"/>
        </w:tabs>
        <w:jc w:val="both"/>
        <w:rPr>
          <w:rFonts w:cs="Arial"/>
          <w:szCs w:val="20"/>
        </w:rPr>
      </w:pPr>
      <w:r>
        <w:rPr>
          <w:rFonts w:cs="Arial"/>
          <w:szCs w:val="20"/>
        </w:rPr>
        <w:t xml:space="preserve">Note: </w:t>
      </w:r>
      <w:r w:rsidR="00F73739" w:rsidRPr="0077044E">
        <w:rPr>
          <w:rFonts w:cs="Arial"/>
          <w:szCs w:val="20"/>
        </w:rPr>
        <w:t xml:space="preserve">SD = seed dressing, IF = coated on fertiliser applied in-furrow </w:t>
      </w:r>
    </w:p>
    <w:p w:rsidR="00F73739" w:rsidRPr="0077044E" w:rsidRDefault="00F73739" w:rsidP="00020020">
      <w:pPr>
        <w:spacing w:after="0" w:line="240" w:lineRule="auto"/>
        <w:rPr>
          <w:rFonts w:cs="Arial"/>
          <w:szCs w:val="20"/>
        </w:rPr>
      </w:pPr>
    </w:p>
    <w:p w:rsidR="00020476" w:rsidRDefault="004F753A" w:rsidP="00C77D78">
      <w:pPr>
        <w:tabs>
          <w:tab w:val="left" w:pos="0"/>
        </w:tabs>
        <w:jc w:val="both"/>
      </w:pPr>
      <w:r w:rsidRPr="0066495E">
        <w:rPr>
          <w:i/>
        </w:rPr>
        <w:t>Moora</w:t>
      </w:r>
      <w:r w:rsidRPr="00FE181F">
        <w:t xml:space="preserve">: </w:t>
      </w:r>
      <w:r w:rsidR="00E87853">
        <w:t>P</w:t>
      </w:r>
      <w:r w:rsidR="00E87853" w:rsidRPr="00FE181F">
        <w:t xml:space="preserve">owdery </w:t>
      </w:r>
      <w:r w:rsidRPr="00FE181F">
        <w:t>mildew became apparent</w:t>
      </w:r>
      <w:r w:rsidR="00216868" w:rsidRPr="00FE181F">
        <w:t xml:space="preserve"> at trace levels </w:t>
      </w:r>
      <w:r w:rsidR="0066495E">
        <w:t>at booting</w:t>
      </w:r>
      <w:r w:rsidR="00E40494">
        <w:t xml:space="preserve"> (</w:t>
      </w:r>
      <w:r w:rsidR="00664C05">
        <w:t>~</w:t>
      </w:r>
      <w:r w:rsidR="00E40494">
        <w:t>Z45)</w:t>
      </w:r>
      <w:r w:rsidR="00C77D78">
        <w:t xml:space="preserve">, however disease development was slow and average severity in </w:t>
      </w:r>
      <w:r w:rsidR="00E87853">
        <w:t>u</w:t>
      </w:r>
      <w:r w:rsidR="00C77D78">
        <w:t xml:space="preserve">ntreated controls was </w:t>
      </w:r>
      <w:r w:rsidR="00C77D78" w:rsidRPr="00C77D78">
        <w:t>&lt;1% leaf area affected</w:t>
      </w:r>
      <w:r w:rsidR="007143D6">
        <w:t>,</w:t>
      </w:r>
      <w:r w:rsidR="00C77D78">
        <w:t xml:space="preserve"> with infection primarily restricted to Flag-2.</w:t>
      </w:r>
      <w:r w:rsidR="00031DD2">
        <w:t xml:space="preserve"> </w:t>
      </w:r>
      <w:r w:rsidR="00031DD2">
        <w:br/>
      </w:r>
      <w:r w:rsidR="00C77D78">
        <w:t xml:space="preserve">At-seeding and Z31 treatments had minimal effect on either incidence or severity of </w:t>
      </w:r>
      <w:r w:rsidR="003B08D9">
        <w:t>PM</w:t>
      </w:r>
      <w:r w:rsidR="00C77D78">
        <w:t xml:space="preserve"> infection</w:t>
      </w:r>
      <w:r w:rsidR="00E40494">
        <w:t xml:space="preserve"> at </w:t>
      </w:r>
      <w:r w:rsidR="00FB6172">
        <w:t>any stage</w:t>
      </w:r>
      <w:r w:rsidR="00C77D78">
        <w:t xml:space="preserve">. Approximately 10% of </w:t>
      </w:r>
      <w:r w:rsidR="00E87853">
        <w:t>u</w:t>
      </w:r>
      <w:r w:rsidR="00C77D78">
        <w:t>ntreated control plants had some level of head infection</w:t>
      </w:r>
      <w:r w:rsidR="00020476">
        <w:t>, Prosaro</w:t>
      </w:r>
      <w:r w:rsidR="00855DB8" w:rsidRPr="00357E03">
        <w:rPr>
          <w:vertAlign w:val="superscript"/>
        </w:rPr>
        <w:t>®</w:t>
      </w:r>
      <w:r w:rsidR="00020476">
        <w:t xml:space="preserve"> applied at Z39 was the only treatment to </w:t>
      </w:r>
      <w:r w:rsidR="0066495E">
        <w:t xml:space="preserve">significantly </w:t>
      </w:r>
      <w:r w:rsidR="00020476">
        <w:t xml:space="preserve">influence incidence of head infection. </w:t>
      </w:r>
    </w:p>
    <w:p w:rsidR="00020476" w:rsidRDefault="00020476" w:rsidP="00C77D78">
      <w:pPr>
        <w:tabs>
          <w:tab w:val="left" w:pos="0"/>
        </w:tabs>
        <w:jc w:val="both"/>
      </w:pPr>
      <w:r>
        <w:t xml:space="preserve">Septoria nodorum blotch was present at low levels throughout the season, assessments at </w:t>
      </w:r>
      <w:r w:rsidR="007143D6">
        <w:t>~</w:t>
      </w:r>
      <w:r>
        <w:t>Z55 show</w:t>
      </w:r>
      <w:r w:rsidR="00E40494">
        <w:t>ed</w:t>
      </w:r>
      <w:r>
        <w:t xml:space="preserve"> </w:t>
      </w:r>
      <w:r w:rsidR="00E87853">
        <w:t xml:space="preserve">a </w:t>
      </w:r>
      <w:r>
        <w:t xml:space="preserve">small but significant effect of both foliar treatments and flutriafol and triadimefon in-furrow on </w:t>
      </w:r>
      <w:r w:rsidR="007143D6">
        <w:t xml:space="preserve">necrotic </w:t>
      </w:r>
      <w:r>
        <w:t xml:space="preserve">leaf area. With late onset of </w:t>
      </w:r>
      <w:r w:rsidR="003B08D9">
        <w:t>PM</w:t>
      </w:r>
      <w:r>
        <w:t xml:space="preserve"> and low severity of septoria nodorum blotch, yield and grain quality were not significantly improved by fungicide treatment</w:t>
      </w:r>
      <w:r w:rsidR="00E87853">
        <w:t>s</w:t>
      </w:r>
      <w:r w:rsidR="007143D6">
        <w:t xml:space="preserve"> (Table 2)</w:t>
      </w:r>
      <w:r>
        <w:t xml:space="preserve">. This was the only site at which reduced emergence in </w:t>
      </w:r>
      <w:r w:rsidR="00855DB8">
        <w:t xml:space="preserve">triadimenol treated </w:t>
      </w:r>
      <w:r>
        <w:t xml:space="preserve">plots resulted in </w:t>
      </w:r>
      <w:r w:rsidR="00E40494">
        <w:t xml:space="preserve">a </w:t>
      </w:r>
      <w:r>
        <w:t>negative yield response (-</w:t>
      </w:r>
      <w:r w:rsidR="00855DB8">
        <w:t>15</w:t>
      </w:r>
      <w:r>
        <w:t>%).</w:t>
      </w:r>
    </w:p>
    <w:p w:rsidR="00216868" w:rsidRPr="00FE181F" w:rsidRDefault="00216868" w:rsidP="00216868">
      <w:pPr>
        <w:spacing w:after="0" w:line="240" w:lineRule="auto"/>
      </w:pPr>
      <w:r w:rsidRPr="0066495E">
        <w:rPr>
          <w:i/>
        </w:rPr>
        <w:t>Tambellup</w:t>
      </w:r>
      <w:r w:rsidRPr="00FE181F">
        <w:t xml:space="preserve">: </w:t>
      </w:r>
      <w:r w:rsidR="00FE181F">
        <w:t xml:space="preserve">Powdery mildew did not occur at this site. </w:t>
      </w:r>
      <w:r w:rsidRPr="00FE181F">
        <w:t xml:space="preserve">In the absence of any significant foliar fungal disease </w:t>
      </w:r>
      <w:r w:rsidR="0066495E">
        <w:t>infection</w:t>
      </w:r>
      <w:r w:rsidRPr="00FE181F">
        <w:t xml:space="preserve">, there was no difference in </w:t>
      </w:r>
      <w:r w:rsidR="00E40494">
        <w:t xml:space="preserve">green </w:t>
      </w:r>
      <w:r w:rsidRPr="00FE181F">
        <w:t>leaf area retention and no subsequent yield impacts</w:t>
      </w:r>
      <w:r w:rsidR="007143D6">
        <w:t xml:space="preserve"> (Table 2)</w:t>
      </w:r>
      <w:r w:rsidRPr="00FE181F">
        <w:t>.</w:t>
      </w:r>
    </w:p>
    <w:p w:rsidR="004F753A" w:rsidRDefault="004F753A" w:rsidP="00D64227">
      <w:pPr>
        <w:tabs>
          <w:tab w:val="left" w:pos="0"/>
        </w:tabs>
        <w:jc w:val="both"/>
        <w:rPr>
          <w:rFonts w:asciiTheme="minorHAnsi" w:hAnsiTheme="minorHAnsi"/>
          <w:sz w:val="22"/>
        </w:rPr>
      </w:pPr>
    </w:p>
    <w:p w:rsidR="00D64227" w:rsidRPr="00FE181F" w:rsidRDefault="00D64227" w:rsidP="00D64227">
      <w:pPr>
        <w:tabs>
          <w:tab w:val="left" w:pos="0"/>
        </w:tabs>
        <w:jc w:val="both"/>
        <w:rPr>
          <w:rFonts w:cs="Arial"/>
          <w:b/>
        </w:rPr>
      </w:pPr>
      <w:r w:rsidRPr="00FE181F">
        <w:rPr>
          <w:rFonts w:cs="Arial"/>
          <w:b/>
        </w:rPr>
        <w:t xml:space="preserve">Table </w:t>
      </w:r>
      <w:r w:rsidR="00FE181F" w:rsidRPr="00FE181F">
        <w:rPr>
          <w:rFonts w:cs="Arial"/>
          <w:b/>
        </w:rPr>
        <w:t>2</w:t>
      </w:r>
      <w:r w:rsidRPr="00FE181F">
        <w:rPr>
          <w:rFonts w:cs="Arial"/>
          <w:b/>
        </w:rPr>
        <w:t xml:space="preserve">: Effect of </w:t>
      </w:r>
      <w:r w:rsidR="00FE181F" w:rsidRPr="00FE181F">
        <w:rPr>
          <w:rFonts w:cs="Arial"/>
          <w:b/>
        </w:rPr>
        <w:t>seed</w:t>
      </w:r>
      <w:r w:rsidR="003B08D9">
        <w:rPr>
          <w:rFonts w:cs="Arial"/>
          <w:b/>
        </w:rPr>
        <w:t xml:space="preserve"> dressing, in-furrow and </w:t>
      </w:r>
      <w:r w:rsidR="00FE181F" w:rsidRPr="00FE181F">
        <w:rPr>
          <w:rFonts w:cs="Arial"/>
          <w:b/>
        </w:rPr>
        <w:t xml:space="preserve">foliar applied fungicides on yield of wheat at </w:t>
      </w:r>
      <w:r w:rsidR="00FE181F" w:rsidRPr="00FE181F">
        <w:rPr>
          <w:rFonts w:cs="Arial"/>
          <w:b/>
          <w:szCs w:val="20"/>
        </w:rPr>
        <w:t>Geraldton (Wyalkatchem</w:t>
      </w:r>
      <w:r w:rsidR="00FE181F" w:rsidRPr="00FE181F">
        <w:rPr>
          <w:rFonts w:cs="Arial"/>
          <w:b/>
          <w:noProof/>
          <w:szCs w:val="20"/>
          <w:lang w:eastAsia="en-AU"/>
        </w:rPr>
        <w:drawing>
          <wp:inline distT="0" distB="0" distL="0" distR="0" wp14:anchorId="21BBFFBC" wp14:editId="444E8BB0">
            <wp:extent cx="83077" cy="108000"/>
            <wp:effectExtent l="0" t="0" r="0" b="6350"/>
            <wp:docPr id="9" name="Picture 9"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00FE181F" w:rsidRPr="00FE181F">
        <w:rPr>
          <w:rFonts w:cs="Arial"/>
          <w:b/>
          <w:szCs w:val="20"/>
        </w:rPr>
        <w:t>), Dalwallinu (Corack</w:t>
      </w:r>
      <w:r w:rsidR="00FE181F" w:rsidRPr="00FE181F">
        <w:rPr>
          <w:rFonts w:cs="Arial"/>
          <w:b/>
          <w:noProof/>
          <w:szCs w:val="20"/>
          <w:lang w:eastAsia="en-AU"/>
        </w:rPr>
        <w:drawing>
          <wp:inline distT="0" distB="0" distL="0" distR="0" wp14:anchorId="1451C837" wp14:editId="207AA153">
            <wp:extent cx="83077" cy="108000"/>
            <wp:effectExtent l="0" t="0" r="0" b="6350"/>
            <wp:docPr id="10" name="Picture 10"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00FE181F" w:rsidRPr="00FE181F">
        <w:rPr>
          <w:rFonts w:cs="Arial"/>
          <w:b/>
          <w:szCs w:val="20"/>
        </w:rPr>
        <w:t>), Moora (Corack</w:t>
      </w:r>
      <w:r w:rsidR="00FE181F" w:rsidRPr="00FE181F">
        <w:rPr>
          <w:rFonts w:cs="Arial"/>
          <w:b/>
          <w:noProof/>
          <w:szCs w:val="20"/>
          <w:lang w:eastAsia="en-AU"/>
        </w:rPr>
        <w:drawing>
          <wp:inline distT="0" distB="0" distL="0" distR="0" wp14:anchorId="1B8BC199" wp14:editId="5B8ED941">
            <wp:extent cx="83077" cy="108000"/>
            <wp:effectExtent l="0" t="0" r="0" b="6350"/>
            <wp:docPr id="13" name="Picture 13"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00FE181F" w:rsidRPr="00FE181F">
        <w:rPr>
          <w:rFonts w:cs="Arial"/>
          <w:b/>
          <w:szCs w:val="20"/>
        </w:rPr>
        <w:t>)</w:t>
      </w:r>
      <w:r w:rsidR="00FE181F">
        <w:rPr>
          <w:rFonts w:cs="Arial"/>
          <w:b/>
          <w:szCs w:val="20"/>
        </w:rPr>
        <w:t xml:space="preserve"> and</w:t>
      </w:r>
      <w:r w:rsidR="00FE181F" w:rsidRPr="00FE181F">
        <w:rPr>
          <w:rFonts w:cs="Arial"/>
          <w:b/>
          <w:szCs w:val="20"/>
        </w:rPr>
        <w:t xml:space="preserve"> Tambellup (Mace</w:t>
      </w:r>
      <w:r w:rsidR="00FE181F" w:rsidRPr="00FE181F">
        <w:rPr>
          <w:rFonts w:cs="Arial"/>
          <w:b/>
          <w:noProof/>
          <w:szCs w:val="20"/>
          <w:lang w:eastAsia="en-AU"/>
        </w:rPr>
        <w:drawing>
          <wp:inline distT="0" distB="0" distL="0" distR="0" wp14:anchorId="1231882E" wp14:editId="1141FFF7">
            <wp:extent cx="83077" cy="108000"/>
            <wp:effectExtent l="0" t="0" r="0" b="6350"/>
            <wp:docPr id="14" name="Picture 14" descr="PB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BR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7" cy="108000"/>
                    </a:xfrm>
                    <a:prstGeom prst="rect">
                      <a:avLst/>
                    </a:prstGeom>
                    <a:noFill/>
                    <a:ln>
                      <a:noFill/>
                    </a:ln>
                  </pic:spPr>
                </pic:pic>
              </a:graphicData>
            </a:graphic>
          </wp:inline>
        </w:drawing>
      </w:r>
      <w:r w:rsidR="00FE181F" w:rsidRPr="00FE181F">
        <w:rPr>
          <w:rFonts w:cs="Arial"/>
          <w:b/>
          <w:szCs w:val="20"/>
        </w:rPr>
        <w:t>)</w:t>
      </w:r>
      <w:r w:rsidR="00FE181F">
        <w:rPr>
          <w:rFonts w:cs="Arial"/>
          <w:b/>
          <w:szCs w:val="20"/>
        </w:rPr>
        <w:t xml:space="preserve"> </w:t>
      </w:r>
      <w:r w:rsidRPr="00FE181F">
        <w:rPr>
          <w:rFonts w:cs="Arial"/>
          <w:b/>
        </w:rPr>
        <w:t xml:space="preserve">in 2016. </w:t>
      </w:r>
    </w:p>
    <w:tbl>
      <w:tblPr>
        <w:tblW w:w="0" w:type="auto"/>
        <w:tblInd w:w="-51" w:type="dxa"/>
        <w:tblBorders>
          <w:top w:val="single" w:sz="4" w:space="0" w:color="auto"/>
          <w:bottom w:val="single" w:sz="4" w:space="0" w:color="auto"/>
        </w:tblBorders>
        <w:tblCellMar>
          <w:left w:w="0" w:type="dxa"/>
          <w:right w:w="170" w:type="dxa"/>
        </w:tblCellMar>
        <w:tblLook w:val="04A0" w:firstRow="1" w:lastRow="0" w:firstColumn="1" w:lastColumn="0" w:noHBand="0" w:noVBand="1"/>
      </w:tblPr>
      <w:tblGrid>
        <w:gridCol w:w="2852"/>
        <w:gridCol w:w="1425"/>
        <w:gridCol w:w="1417"/>
        <w:gridCol w:w="1417"/>
        <w:gridCol w:w="1418"/>
      </w:tblGrid>
      <w:tr w:rsidR="00D460D1" w:rsidRPr="00D460D1" w:rsidTr="00B861A9">
        <w:trPr>
          <w:trHeight w:val="283"/>
        </w:trPr>
        <w:tc>
          <w:tcPr>
            <w:tcW w:w="2844" w:type="dxa"/>
            <w:tcBorders>
              <w:bottom w:val="nil"/>
            </w:tcBorders>
          </w:tcPr>
          <w:p w:rsidR="006528D8" w:rsidRPr="00D460D1" w:rsidRDefault="006528D8" w:rsidP="006528D8">
            <w:pPr>
              <w:spacing w:after="0" w:line="240" w:lineRule="auto"/>
              <w:rPr>
                <w:rFonts w:cs="Arial"/>
                <w:bCs/>
                <w:szCs w:val="20"/>
              </w:rPr>
            </w:pPr>
            <w:r w:rsidRPr="00D460D1">
              <w:rPr>
                <w:rFonts w:cs="Arial"/>
                <w:bCs/>
                <w:szCs w:val="20"/>
              </w:rPr>
              <w:t>Fungicide</w:t>
            </w:r>
          </w:p>
        </w:tc>
        <w:tc>
          <w:tcPr>
            <w:tcW w:w="5669" w:type="dxa"/>
            <w:gridSpan w:val="4"/>
            <w:tcBorders>
              <w:bottom w:val="nil"/>
            </w:tcBorders>
            <w:shd w:val="clear" w:color="auto" w:fill="auto"/>
            <w:noWrap/>
          </w:tcPr>
          <w:p w:rsidR="006528D8" w:rsidRPr="00D460D1" w:rsidRDefault="006528D8" w:rsidP="004F753A">
            <w:pPr>
              <w:spacing w:after="0" w:line="240" w:lineRule="auto"/>
              <w:jc w:val="center"/>
              <w:rPr>
                <w:rFonts w:cs="Arial"/>
                <w:szCs w:val="20"/>
              </w:rPr>
            </w:pPr>
            <w:r w:rsidRPr="00D460D1">
              <w:rPr>
                <w:rFonts w:cs="Arial"/>
                <w:szCs w:val="20"/>
              </w:rPr>
              <w:t>Grain yield (t/ha)</w:t>
            </w:r>
          </w:p>
        </w:tc>
      </w:tr>
      <w:tr w:rsidR="00D460D1" w:rsidRPr="00D460D1" w:rsidTr="00B861A9">
        <w:trPr>
          <w:trHeight w:val="283"/>
        </w:trPr>
        <w:tc>
          <w:tcPr>
            <w:tcW w:w="2844" w:type="dxa"/>
            <w:tcBorders>
              <w:top w:val="nil"/>
              <w:bottom w:val="single" w:sz="4" w:space="0" w:color="auto"/>
            </w:tcBorders>
            <w:shd w:val="clear" w:color="auto" w:fill="auto"/>
            <w:hideMark/>
          </w:tcPr>
          <w:p w:rsidR="006528D8" w:rsidRPr="00D460D1" w:rsidRDefault="006528D8" w:rsidP="004F753A">
            <w:pPr>
              <w:spacing w:after="0" w:line="240" w:lineRule="auto"/>
              <w:jc w:val="center"/>
              <w:rPr>
                <w:rFonts w:cs="Arial"/>
                <w:bCs/>
                <w:szCs w:val="20"/>
              </w:rPr>
            </w:pPr>
          </w:p>
        </w:tc>
        <w:tc>
          <w:tcPr>
            <w:tcW w:w="1417" w:type="dxa"/>
            <w:tcBorders>
              <w:top w:val="nil"/>
              <w:bottom w:val="single" w:sz="4" w:space="0" w:color="auto"/>
            </w:tcBorders>
            <w:shd w:val="clear" w:color="auto" w:fill="auto"/>
            <w:noWrap/>
            <w:hideMark/>
          </w:tcPr>
          <w:p w:rsidR="006528D8" w:rsidRPr="00D460D1" w:rsidRDefault="006528D8" w:rsidP="00EB69F7">
            <w:pPr>
              <w:spacing w:after="0" w:line="240" w:lineRule="auto"/>
              <w:jc w:val="center"/>
              <w:rPr>
                <w:rFonts w:cs="Arial"/>
                <w:szCs w:val="20"/>
              </w:rPr>
            </w:pPr>
            <w:r w:rsidRPr="00D460D1">
              <w:rPr>
                <w:rFonts w:cs="Arial"/>
                <w:szCs w:val="20"/>
              </w:rPr>
              <w:t>Geraldton</w:t>
            </w:r>
            <w:r w:rsidR="00EB69F7" w:rsidRPr="00D460D1">
              <w:rPr>
                <w:rFonts w:cs="Arial"/>
                <w:szCs w:val="20"/>
                <w:vertAlign w:val="superscript"/>
              </w:rPr>
              <w:t>#</w:t>
            </w:r>
          </w:p>
        </w:tc>
        <w:tc>
          <w:tcPr>
            <w:tcW w:w="1417" w:type="dxa"/>
            <w:tcBorders>
              <w:top w:val="nil"/>
              <w:bottom w:val="single" w:sz="4" w:space="0" w:color="auto"/>
            </w:tcBorders>
          </w:tcPr>
          <w:p w:rsidR="006528D8" w:rsidRPr="00D460D1" w:rsidRDefault="006528D8" w:rsidP="00112D5D">
            <w:pPr>
              <w:spacing w:after="0" w:line="240" w:lineRule="auto"/>
              <w:jc w:val="center"/>
              <w:rPr>
                <w:rFonts w:cs="Arial"/>
                <w:szCs w:val="20"/>
              </w:rPr>
            </w:pPr>
            <w:r w:rsidRPr="00D460D1">
              <w:rPr>
                <w:rFonts w:cs="Arial"/>
                <w:szCs w:val="20"/>
              </w:rPr>
              <w:t>Dalwallinu</w:t>
            </w:r>
          </w:p>
        </w:tc>
        <w:tc>
          <w:tcPr>
            <w:tcW w:w="1417" w:type="dxa"/>
            <w:tcBorders>
              <w:top w:val="nil"/>
              <w:bottom w:val="single" w:sz="4" w:space="0" w:color="auto"/>
            </w:tcBorders>
          </w:tcPr>
          <w:p w:rsidR="006528D8" w:rsidRPr="00D460D1" w:rsidRDefault="006528D8" w:rsidP="004F753A">
            <w:pPr>
              <w:spacing w:after="0" w:line="240" w:lineRule="auto"/>
              <w:jc w:val="center"/>
              <w:rPr>
                <w:rFonts w:cs="Arial"/>
                <w:szCs w:val="20"/>
              </w:rPr>
            </w:pPr>
            <w:r w:rsidRPr="00D460D1">
              <w:rPr>
                <w:rFonts w:cs="Arial"/>
                <w:szCs w:val="20"/>
              </w:rPr>
              <w:t>Moora</w:t>
            </w:r>
          </w:p>
        </w:tc>
        <w:tc>
          <w:tcPr>
            <w:tcW w:w="1417" w:type="dxa"/>
            <w:tcBorders>
              <w:top w:val="nil"/>
              <w:bottom w:val="single" w:sz="4" w:space="0" w:color="auto"/>
            </w:tcBorders>
          </w:tcPr>
          <w:p w:rsidR="006528D8" w:rsidRPr="00D460D1" w:rsidRDefault="006528D8" w:rsidP="004F753A">
            <w:pPr>
              <w:spacing w:after="0" w:line="240" w:lineRule="auto"/>
              <w:jc w:val="center"/>
              <w:rPr>
                <w:rFonts w:cs="Arial"/>
                <w:szCs w:val="20"/>
              </w:rPr>
            </w:pPr>
            <w:r w:rsidRPr="00D460D1">
              <w:rPr>
                <w:rFonts w:cs="Arial"/>
                <w:szCs w:val="20"/>
              </w:rPr>
              <w:t>Tambellup</w:t>
            </w:r>
          </w:p>
        </w:tc>
      </w:tr>
      <w:tr w:rsidR="00D460D1" w:rsidRPr="00D460D1" w:rsidTr="00B861A9">
        <w:trPr>
          <w:trHeight w:val="283"/>
        </w:trPr>
        <w:tc>
          <w:tcPr>
            <w:tcW w:w="2844" w:type="dxa"/>
            <w:tcBorders>
              <w:top w:val="single" w:sz="4" w:space="0" w:color="auto"/>
            </w:tcBorders>
            <w:shd w:val="clear" w:color="auto" w:fill="auto"/>
            <w:noWrap/>
            <w:vAlign w:val="center"/>
            <w:hideMark/>
          </w:tcPr>
          <w:p w:rsidR="00D60BB9" w:rsidRPr="00D460D1" w:rsidRDefault="00D60BB9" w:rsidP="004F753A">
            <w:pPr>
              <w:spacing w:after="0" w:line="240" w:lineRule="auto"/>
              <w:rPr>
                <w:rFonts w:cs="Arial"/>
                <w:szCs w:val="20"/>
              </w:rPr>
            </w:pPr>
            <w:r w:rsidRPr="00D460D1">
              <w:rPr>
                <w:rFonts w:cs="Arial"/>
                <w:szCs w:val="20"/>
              </w:rPr>
              <w:t>Untreated</w:t>
            </w:r>
          </w:p>
        </w:tc>
        <w:tc>
          <w:tcPr>
            <w:tcW w:w="1417" w:type="dxa"/>
            <w:tcBorders>
              <w:top w:val="single" w:sz="4" w:space="0" w:color="auto"/>
            </w:tcBorders>
            <w:shd w:val="clear" w:color="auto" w:fill="auto"/>
            <w:noWrap/>
            <w:vAlign w:val="center"/>
            <w:hideMark/>
          </w:tcPr>
          <w:p w:rsidR="00D60BB9" w:rsidRPr="00D460D1" w:rsidRDefault="00D60BB9" w:rsidP="00D60BB9">
            <w:pPr>
              <w:spacing w:after="0" w:line="240" w:lineRule="auto"/>
              <w:ind w:left="227"/>
              <w:jc w:val="center"/>
              <w:rPr>
                <w:rFonts w:eastAsia="Times New Roman" w:cs="Arial"/>
                <w:szCs w:val="20"/>
                <w:lang w:eastAsia="en-AU"/>
              </w:rPr>
            </w:pPr>
            <w:r w:rsidRPr="00D460D1">
              <w:rPr>
                <w:rFonts w:eastAsia="Times New Roman" w:cs="Arial"/>
                <w:szCs w:val="20"/>
                <w:lang w:eastAsia="en-AU"/>
              </w:rPr>
              <w:t>4.6</w:t>
            </w:r>
            <w:r w:rsidR="00B861A9" w:rsidRPr="00D460D1">
              <w:rPr>
                <w:rFonts w:eastAsia="Times New Roman" w:cs="Arial"/>
                <w:szCs w:val="20"/>
                <w:lang w:eastAsia="en-AU"/>
              </w:rPr>
              <w:t xml:space="preserve"> (100)</w:t>
            </w:r>
          </w:p>
        </w:tc>
        <w:tc>
          <w:tcPr>
            <w:tcW w:w="1417" w:type="dxa"/>
            <w:tcBorders>
              <w:top w:val="single" w:sz="4" w:space="0" w:color="auto"/>
            </w:tcBorders>
            <w:vAlign w:val="center"/>
          </w:tcPr>
          <w:p w:rsidR="00D60BB9" w:rsidRPr="00D460D1" w:rsidRDefault="00D60BB9" w:rsidP="00112D5D">
            <w:pPr>
              <w:spacing w:after="0" w:line="240" w:lineRule="auto"/>
              <w:jc w:val="center"/>
              <w:rPr>
                <w:rFonts w:cs="Arial"/>
                <w:szCs w:val="20"/>
              </w:rPr>
            </w:pPr>
            <w:r w:rsidRPr="00D460D1">
              <w:rPr>
                <w:rFonts w:cs="Arial"/>
                <w:szCs w:val="20"/>
              </w:rPr>
              <w:t>2.7</w:t>
            </w:r>
          </w:p>
        </w:tc>
        <w:tc>
          <w:tcPr>
            <w:tcW w:w="1417" w:type="dxa"/>
            <w:tcBorders>
              <w:top w:val="single" w:sz="4" w:space="0" w:color="auto"/>
            </w:tcBorders>
            <w:vAlign w:val="center"/>
          </w:tcPr>
          <w:p w:rsidR="00D60BB9" w:rsidRPr="00D460D1" w:rsidRDefault="00D60BB9" w:rsidP="004F753A">
            <w:pPr>
              <w:spacing w:after="0" w:line="240" w:lineRule="auto"/>
              <w:jc w:val="center"/>
              <w:rPr>
                <w:rFonts w:cs="Arial"/>
                <w:szCs w:val="20"/>
              </w:rPr>
            </w:pPr>
            <w:r w:rsidRPr="00D460D1">
              <w:rPr>
                <w:rFonts w:cs="Arial"/>
                <w:szCs w:val="20"/>
              </w:rPr>
              <w:t>4.5</w:t>
            </w:r>
          </w:p>
        </w:tc>
        <w:tc>
          <w:tcPr>
            <w:tcW w:w="1417" w:type="dxa"/>
            <w:tcBorders>
              <w:top w:val="single" w:sz="4" w:space="0" w:color="auto"/>
            </w:tcBorders>
            <w:vAlign w:val="center"/>
          </w:tcPr>
          <w:p w:rsidR="00D60BB9" w:rsidRPr="00D460D1" w:rsidRDefault="00D60BB9" w:rsidP="004F753A">
            <w:pPr>
              <w:spacing w:after="0" w:line="240" w:lineRule="auto"/>
              <w:jc w:val="center"/>
              <w:rPr>
                <w:rFonts w:cs="Arial"/>
                <w:szCs w:val="20"/>
              </w:rPr>
            </w:pPr>
            <w:r w:rsidRPr="00D460D1">
              <w:rPr>
                <w:rFonts w:cs="Arial"/>
                <w:szCs w:val="20"/>
              </w:rPr>
              <w:t>5.0</w:t>
            </w:r>
          </w:p>
        </w:tc>
      </w:tr>
      <w:tr w:rsidR="00D460D1" w:rsidRPr="00D460D1" w:rsidTr="00B861A9">
        <w:trPr>
          <w:trHeight w:val="283"/>
        </w:trPr>
        <w:tc>
          <w:tcPr>
            <w:tcW w:w="2844" w:type="dxa"/>
            <w:shd w:val="clear" w:color="auto" w:fill="auto"/>
            <w:noWrap/>
            <w:vAlign w:val="center"/>
            <w:hideMark/>
          </w:tcPr>
          <w:p w:rsidR="00D60BB9" w:rsidRPr="00D460D1" w:rsidRDefault="00D60BB9" w:rsidP="00CF4691">
            <w:pPr>
              <w:spacing w:after="0" w:line="240" w:lineRule="auto"/>
              <w:rPr>
                <w:rFonts w:cs="Arial"/>
                <w:szCs w:val="20"/>
              </w:rPr>
            </w:pPr>
            <w:proofErr w:type="spellStart"/>
            <w:r w:rsidRPr="00D460D1">
              <w:rPr>
                <w:szCs w:val="20"/>
              </w:rPr>
              <w:t>Fluquinconazole</w:t>
            </w:r>
            <w:proofErr w:type="spellEnd"/>
            <w:r w:rsidRPr="00D460D1">
              <w:rPr>
                <w:szCs w:val="20"/>
              </w:rPr>
              <w:t xml:space="preserve"> (SD)</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eastAsia="Times New Roman" w:cs="Arial"/>
                <w:szCs w:val="20"/>
                <w:lang w:eastAsia="en-AU"/>
              </w:rPr>
            </w:pPr>
            <w:r w:rsidRPr="00D460D1">
              <w:rPr>
                <w:rFonts w:eastAsia="Times New Roman" w:cs="Arial"/>
                <w:szCs w:val="20"/>
                <w:lang w:eastAsia="en-AU"/>
              </w:rPr>
              <w:t xml:space="preserve">5.2 </w:t>
            </w:r>
            <w:r w:rsidRPr="00D460D1">
              <w:rPr>
                <w:rFonts w:cs="Arial"/>
                <w:szCs w:val="20"/>
              </w:rPr>
              <w:t>(113)</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2.8</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4.4</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5.0</w:t>
            </w:r>
          </w:p>
        </w:tc>
      </w:tr>
      <w:tr w:rsidR="00D460D1" w:rsidRPr="00D460D1" w:rsidTr="00B861A9">
        <w:trPr>
          <w:trHeight w:val="283"/>
        </w:trPr>
        <w:tc>
          <w:tcPr>
            <w:tcW w:w="2844" w:type="dxa"/>
            <w:shd w:val="clear" w:color="auto" w:fill="auto"/>
            <w:noWrap/>
            <w:vAlign w:val="center"/>
            <w:hideMark/>
          </w:tcPr>
          <w:p w:rsidR="00D60BB9" w:rsidRPr="00D460D1" w:rsidRDefault="00D60BB9" w:rsidP="00CF4691">
            <w:pPr>
              <w:spacing w:after="0" w:line="240" w:lineRule="auto"/>
              <w:rPr>
                <w:rFonts w:cs="Arial"/>
                <w:szCs w:val="20"/>
              </w:rPr>
            </w:pPr>
            <w:proofErr w:type="spellStart"/>
            <w:r w:rsidRPr="00D460D1">
              <w:rPr>
                <w:szCs w:val="20"/>
              </w:rPr>
              <w:t>Fluxapyroxad</w:t>
            </w:r>
            <w:proofErr w:type="spellEnd"/>
            <w:r w:rsidRPr="00D460D1">
              <w:rPr>
                <w:szCs w:val="20"/>
              </w:rPr>
              <w:t xml:space="preserve">  (SD)</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eastAsia="Times New Roman" w:cs="Arial"/>
                <w:szCs w:val="20"/>
                <w:lang w:eastAsia="en-AU"/>
              </w:rPr>
            </w:pPr>
            <w:r w:rsidRPr="00D460D1">
              <w:rPr>
                <w:rFonts w:eastAsia="Times New Roman" w:cs="Arial"/>
                <w:szCs w:val="20"/>
                <w:lang w:eastAsia="en-AU"/>
              </w:rPr>
              <w:t xml:space="preserve">5.2 </w:t>
            </w:r>
            <w:r w:rsidRPr="00D460D1">
              <w:rPr>
                <w:rFonts w:cs="Arial"/>
                <w:szCs w:val="20"/>
              </w:rPr>
              <w:t>(113)</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2.8</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4.4</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4.8</w:t>
            </w:r>
          </w:p>
        </w:tc>
      </w:tr>
      <w:tr w:rsidR="00D460D1" w:rsidRPr="00D460D1" w:rsidTr="00B861A9">
        <w:trPr>
          <w:trHeight w:val="283"/>
        </w:trPr>
        <w:tc>
          <w:tcPr>
            <w:tcW w:w="2844" w:type="dxa"/>
            <w:shd w:val="clear" w:color="auto" w:fill="auto"/>
            <w:noWrap/>
            <w:vAlign w:val="center"/>
            <w:hideMark/>
          </w:tcPr>
          <w:p w:rsidR="00D60BB9" w:rsidRPr="00D460D1" w:rsidRDefault="00D60BB9" w:rsidP="00CF4691">
            <w:pPr>
              <w:spacing w:after="0" w:line="240" w:lineRule="auto"/>
              <w:rPr>
                <w:rFonts w:cs="Arial"/>
                <w:szCs w:val="20"/>
              </w:rPr>
            </w:pPr>
            <w:proofErr w:type="spellStart"/>
            <w:r w:rsidRPr="00D460D1">
              <w:rPr>
                <w:szCs w:val="20"/>
              </w:rPr>
              <w:t>Triadimenol</w:t>
            </w:r>
            <w:proofErr w:type="spellEnd"/>
            <w:r w:rsidRPr="00D460D1">
              <w:rPr>
                <w:szCs w:val="20"/>
              </w:rPr>
              <w:t xml:space="preserve"> (SD)</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eastAsia="Times New Roman" w:cs="Arial"/>
                <w:szCs w:val="20"/>
                <w:lang w:eastAsia="en-AU"/>
              </w:rPr>
            </w:pPr>
            <w:r w:rsidRPr="00D460D1">
              <w:rPr>
                <w:rFonts w:eastAsia="Times New Roman" w:cs="Arial"/>
                <w:szCs w:val="20"/>
                <w:lang w:eastAsia="en-AU"/>
              </w:rPr>
              <w:t xml:space="preserve">5.2 </w:t>
            </w:r>
            <w:r w:rsidRPr="00D460D1">
              <w:rPr>
                <w:rFonts w:cs="Arial"/>
                <w:szCs w:val="20"/>
              </w:rPr>
              <w:t>(113)</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2.6</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3.8</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5.0</w:t>
            </w:r>
          </w:p>
        </w:tc>
      </w:tr>
      <w:tr w:rsidR="00D460D1" w:rsidRPr="00D460D1" w:rsidTr="00B861A9">
        <w:trPr>
          <w:trHeight w:val="283"/>
        </w:trPr>
        <w:tc>
          <w:tcPr>
            <w:tcW w:w="2844" w:type="dxa"/>
            <w:shd w:val="clear" w:color="auto" w:fill="auto"/>
            <w:noWrap/>
            <w:vAlign w:val="center"/>
            <w:hideMark/>
          </w:tcPr>
          <w:p w:rsidR="00D60BB9" w:rsidRPr="00D460D1" w:rsidRDefault="00D60BB9" w:rsidP="004F753A">
            <w:pPr>
              <w:spacing w:after="0" w:line="240" w:lineRule="auto"/>
              <w:rPr>
                <w:rFonts w:cs="Arial"/>
                <w:szCs w:val="20"/>
              </w:rPr>
            </w:pPr>
            <w:proofErr w:type="spellStart"/>
            <w:r w:rsidRPr="00D460D1">
              <w:rPr>
                <w:szCs w:val="20"/>
              </w:rPr>
              <w:t>Flutriafol</w:t>
            </w:r>
            <w:proofErr w:type="spellEnd"/>
            <w:r w:rsidRPr="00D460D1">
              <w:rPr>
                <w:szCs w:val="20"/>
              </w:rPr>
              <w:t xml:space="preserve"> (IF)</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eastAsia="Times New Roman" w:cs="Arial"/>
                <w:bCs/>
                <w:szCs w:val="20"/>
                <w:lang w:eastAsia="en-AU"/>
              </w:rPr>
            </w:pPr>
            <w:r w:rsidRPr="00D460D1">
              <w:rPr>
                <w:rFonts w:eastAsia="Times New Roman" w:cs="Arial"/>
                <w:bCs/>
                <w:szCs w:val="20"/>
                <w:lang w:eastAsia="en-AU"/>
              </w:rPr>
              <w:t xml:space="preserve">5.8 </w:t>
            </w:r>
            <w:r w:rsidRPr="00D460D1">
              <w:rPr>
                <w:rFonts w:cs="Arial"/>
                <w:szCs w:val="20"/>
              </w:rPr>
              <w:t>(126)</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2.7</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4.8</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5.0</w:t>
            </w:r>
          </w:p>
        </w:tc>
      </w:tr>
      <w:tr w:rsidR="00D460D1" w:rsidRPr="00D460D1" w:rsidTr="00B861A9">
        <w:trPr>
          <w:trHeight w:val="283"/>
        </w:trPr>
        <w:tc>
          <w:tcPr>
            <w:tcW w:w="2844" w:type="dxa"/>
            <w:shd w:val="clear" w:color="auto" w:fill="auto"/>
            <w:noWrap/>
            <w:vAlign w:val="center"/>
            <w:hideMark/>
          </w:tcPr>
          <w:p w:rsidR="00D60BB9" w:rsidRPr="00D460D1" w:rsidRDefault="00D60BB9" w:rsidP="004F753A">
            <w:pPr>
              <w:spacing w:after="0" w:line="240" w:lineRule="auto"/>
              <w:rPr>
                <w:rFonts w:cs="Arial"/>
                <w:szCs w:val="20"/>
              </w:rPr>
            </w:pPr>
            <w:proofErr w:type="spellStart"/>
            <w:r w:rsidRPr="00D460D1">
              <w:rPr>
                <w:szCs w:val="20"/>
              </w:rPr>
              <w:t>Triadimefon</w:t>
            </w:r>
            <w:proofErr w:type="spellEnd"/>
            <w:r w:rsidRPr="00D460D1">
              <w:rPr>
                <w:szCs w:val="20"/>
              </w:rPr>
              <w:t xml:space="preserve"> (IF)</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eastAsia="Times New Roman" w:cs="Arial"/>
                <w:szCs w:val="20"/>
                <w:lang w:eastAsia="en-AU"/>
              </w:rPr>
            </w:pPr>
            <w:r w:rsidRPr="00D460D1">
              <w:rPr>
                <w:rFonts w:eastAsia="Times New Roman" w:cs="Arial"/>
                <w:szCs w:val="20"/>
                <w:lang w:eastAsia="en-AU"/>
              </w:rPr>
              <w:t xml:space="preserve">5.2 </w:t>
            </w:r>
            <w:r w:rsidRPr="00D460D1">
              <w:rPr>
                <w:rFonts w:cs="Arial"/>
                <w:szCs w:val="20"/>
              </w:rPr>
              <w:t>(113)</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2.7</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4.6</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4.8</w:t>
            </w:r>
          </w:p>
        </w:tc>
      </w:tr>
      <w:tr w:rsidR="00D460D1" w:rsidRPr="00D460D1" w:rsidTr="00B861A9">
        <w:trPr>
          <w:trHeight w:val="283"/>
        </w:trPr>
        <w:tc>
          <w:tcPr>
            <w:tcW w:w="2844" w:type="dxa"/>
            <w:shd w:val="clear" w:color="auto" w:fill="auto"/>
            <w:noWrap/>
            <w:vAlign w:val="center"/>
            <w:hideMark/>
          </w:tcPr>
          <w:p w:rsidR="00D60BB9" w:rsidRPr="00D460D1" w:rsidRDefault="00D60BB9" w:rsidP="00CF4691">
            <w:pPr>
              <w:spacing w:after="0" w:line="240" w:lineRule="auto"/>
              <w:rPr>
                <w:rFonts w:cs="Arial"/>
                <w:szCs w:val="20"/>
              </w:rPr>
            </w:pPr>
            <w:proofErr w:type="spellStart"/>
            <w:r w:rsidRPr="00D460D1">
              <w:rPr>
                <w:szCs w:val="20"/>
              </w:rPr>
              <w:t>Azoxystrobin+metalaxyl</w:t>
            </w:r>
            <w:proofErr w:type="spellEnd"/>
            <w:r w:rsidRPr="00D460D1">
              <w:rPr>
                <w:szCs w:val="20"/>
              </w:rPr>
              <w:t xml:space="preserve"> (IF)</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eastAsia="Times New Roman" w:cs="Arial"/>
                <w:bCs/>
                <w:szCs w:val="20"/>
                <w:lang w:eastAsia="en-AU"/>
              </w:rPr>
            </w:pPr>
            <w:r w:rsidRPr="00D460D1">
              <w:rPr>
                <w:rFonts w:eastAsia="Times New Roman" w:cs="Arial"/>
                <w:bCs/>
                <w:szCs w:val="20"/>
                <w:lang w:eastAsia="en-AU"/>
              </w:rPr>
              <w:t xml:space="preserve">5.3 </w:t>
            </w:r>
            <w:r w:rsidRPr="00D460D1">
              <w:rPr>
                <w:rFonts w:cs="Arial"/>
                <w:szCs w:val="20"/>
              </w:rPr>
              <w:t>(115)</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2.8</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4.6</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4.7</w:t>
            </w:r>
          </w:p>
        </w:tc>
      </w:tr>
      <w:tr w:rsidR="00D460D1" w:rsidRPr="00D460D1" w:rsidTr="00B861A9">
        <w:trPr>
          <w:trHeight w:val="283"/>
        </w:trPr>
        <w:tc>
          <w:tcPr>
            <w:tcW w:w="2844" w:type="dxa"/>
            <w:shd w:val="clear" w:color="auto" w:fill="auto"/>
            <w:noWrap/>
            <w:vAlign w:val="center"/>
            <w:hideMark/>
          </w:tcPr>
          <w:p w:rsidR="00D60BB9" w:rsidRPr="00D460D1" w:rsidRDefault="00D60BB9" w:rsidP="00CF4691">
            <w:pPr>
              <w:spacing w:after="0" w:line="240" w:lineRule="auto"/>
              <w:rPr>
                <w:rFonts w:cs="Arial"/>
                <w:szCs w:val="20"/>
              </w:rPr>
            </w:pPr>
            <w:r w:rsidRPr="00D460D1">
              <w:rPr>
                <w:rFonts w:cs="Arial"/>
                <w:szCs w:val="20"/>
              </w:rPr>
              <w:t>Tilt</w:t>
            </w:r>
            <w:r w:rsidRPr="00D460D1">
              <w:rPr>
                <w:rFonts w:cs="Arial"/>
                <w:szCs w:val="20"/>
                <w:vertAlign w:val="superscript"/>
              </w:rPr>
              <w:t>®</w:t>
            </w:r>
            <w:r w:rsidRPr="00D460D1">
              <w:rPr>
                <w:rFonts w:cs="Arial"/>
                <w:szCs w:val="20"/>
              </w:rPr>
              <w:t xml:space="preserve"> or </w:t>
            </w:r>
            <w:proofErr w:type="spellStart"/>
            <w:r w:rsidRPr="00D460D1">
              <w:rPr>
                <w:rFonts w:cs="Arial"/>
                <w:szCs w:val="20"/>
              </w:rPr>
              <w:t>Prosaro</w:t>
            </w:r>
            <w:proofErr w:type="spellEnd"/>
            <w:r w:rsidRPr="00D460D1">
              <w:rPr>
                <w:rFonts w:cs="Arial"/>
                <w:szCs w:val="20"/>
                <w:vertAlign w:val="superscript"/>
              </w:rPr>
              <w:t>®</w:t>
            </w:r>
            <w:r w:rsidRPr="00D460D1">
              <w:rPr>
                <w:rFonts w:cs="Arial"/>
                <w:szCs w:val="20"/>
              </w:rPr>
              <w:t xml:space="preserve"> @Z30/31*</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eastAsia="Times New Roman" w:cs="Arial"/>
                <w:bCs/>
                <w:szCs w:val="20"/>
                <w:lang w:eastAsia="en-AU"/>
              </w:rPr>
            </w:pPr>
            <w:r w:rsidRPr="00D460D1">
              <w:rPr>
                <w:rFonts w:eastAsia="Times New Roman" w:cs="Arial"/>
                <w:bCs/>
                <w:szCs w:val="20"/>
                <w:lang w:eastAsia="en-AU"/>
              </w:rPr>
              <w:t xml:space="preserve">5.4 </w:t>
            </w:r>
            <w:r w:rsidRPr="00D460D1">
              <w:rPr>
                <w:rFonts w:cs="Arial"/>
                <w:szCs w:val="20"/>
              </w:rPr>
              <w:t>(117)</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2.6</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4.4</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4.9</w:t>
            </w:r>
          </w:p>
        </w:tc>
      </w:tr>
      <w:tr w:rsidR="00D460D1" w:rsidRPr="00D460D1" w:rsidTr="00B861A9">
        <w:trPr>
          <w:trHeight w:val="283"/>
        </w:trPr>
        <w:tc>
          <w:tcPr>
            <w:tcW w:w="2844" w:type="dxa"/>
            <w:shd w:val="clear" w:color="auto" w:fill="auto"/>
            <w:noWrap/>
            <w:vAlign w:val="center"/>
            <w:hideMark/>
          </w:tcPr>
          <w:p w:rsidR="00D60BB9" w:rsidRPr="00D460D1" w:rsidRDefault="00D60BB9" w:rsidP="00CF4691">
            <w:pPr>
              <w:spacing w:after="0" w:line="240" w:lineRule="auto"/>
              <w:rPr>
                <w:rFonts w:cs="Arial"/>
                <w:szCs w:val="20"/>
              </w:rPr>
            </w:pPr>
            <w:proofErr w:type="spellStart"/>
            <w:r w:rsidRPr="00D460D1">
              <w:rPr>
                <w:rFonts w:cs="Arial"/>
                <w:szCs w:val="20"/>
              </w:rPr>
              <w:t>Prosaro</w:t>
            </w:r>
            <w:proofErr w:type="spellEnd"/>
            <w:r w:rsidRPr="00D460D1">
              <w:rPr>
                <w:rFonts w:cs="Arial"/>
                <w:szCs w:val="20"/>
                <w:vertAlign w:val="superscript"/>
              </w:rPr>
              <w:t>®</w:t>
            </w:r>
            <w:r w:rsidRPr="00D460D1">
              <w:rPr>
                <w:rFonts w:cs="Arial"/>
                <w:szCs w:val="20"/>
              </w:rPr>
              <w:t xml:space="preserve"> @Z39/45</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eastAsia="Times New Roman" w:cs="Arial"/>
                <w:bCs/>
                <w:szCs w:val="20"/>
                <w:lang w:eastAsia="en-AU"/>
              </w:rPr>
            </w:pPr>
            <w:r w:rsidRPr="00D460D1">
              <w:rPr>
                <w:rFonts w:eastAsia="Times New Roman" w:cs="Arial"/>
                <w:bCs/>
                <w:szCs w:val="20"/>
                <w:lang w:eastAsia="en-AU"/>
              </w:rPr>
              <w:t xml:space="preserve">5.5 </w:t>
            </w:r>
            <w:r w:rsidRPr="00D460D1">
              <w:rPr>
                <w:rFonts w:cs="Arial"/>
                <w:szCs w:val="20"/>
              </w:rPr>
              <w:t>(120)</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2.7</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4.5</w:t>
            </w:r>
          </w:p>
        </w:tc>
        <w:tc>
          <w:tcPr>
            <w:tcW w:w="1417" w:type="dxa"/>
            <w:vAlign w:val="center"/>
          </w:tcPr>
          <w:p w:rsidR="00D60BB9" w:rsidRPr="00D460D1" w:rsidRDefault="00D60BB9" w:rsidP="004F753A">
            <w:pPr>
              <w:spacing w:after="0" w:line="240" w:lineRule="auto"/>
              <w:jc w:val="center"/>
              <w:rPr>
                <w:rFonts w:cs="Arial"/>
                <w:bCs/>
                <w:iCs/>
                <w:szCs w:val="20"/>
              </w:rPr>
            </w:pPr>
            <w:r w:rsidRPr="00D460D1">
              <w:rPr>
                <w:rFonts w:cs="Arial"/>
                <w:bCs/>
                <w:iCs/>
                <w:szCs w:val="20"/>
              </w:rPr>
              <w:t>4.9</w:t>
            </w:r>
          </w:p>
        </w:tc>
      </w:tr>
      <w:tr w:rsidR="00D460D1" w:rsidRPr="00D460D1" w:rsidTr="00B861A9">
        <w:trPr>
          <w:trHeight w:val="283"/>
        </w:trPr>
        <w:tc>
          <w:tcPr>
            <w:tcW w:w="2844" w:type="dxa"/>
            <w:shd w:val="clear" w:color="auto" w:fill="auto"/>
            <w:noWrap/>
            <w:vAlign w:val="center"/>
            <w:hideMark/>
          </w:tcPr>
          <w:p w:rsidR="00D60BB9" w:rsidRPr="00D460D1" w:rsidRDefault="00D60BB9" w:rsidP="004F753A">
            <w:pPr>
              <w:spacing w:after="0" w:line="240" w:lineRule="auto"/>
              <w:rPr>
                <w:rFonts w:cs="Arial"/>
                <w:szCs w:val="20"/>
              </w:rPr>
            </w:pPr>
            <w:proofErr w:type="spellStart"/>
            <w:r w:rsidRPr="00D460D1">
              <w:rPr>
                <w:rFonts w:cs="Arial"/>
                <w:szCs w:val="20"/>
              </w:rPr>
              <w:t>Prosaro</w:t>
            </w:r>
            <w:proofErr w:type="spellEnd"/>
            <w:r w:rsidRPr="00D460D1">
              <w:rPr>
                <w:rFonts w:cs="Arial"/>
                <w:szCs w:val="20"/>
                <w:vertAlign w:val="superscript"/>
              </w:rPr>
              <w:t>®</w:t>
            </w:r>
            <w:r w:rsidRPr="00D460D1">
              <w:rPr>
                <w:rFonts w:cs="Arial"/>
                <w:szCs w:val="20"/>
              </w:rPr>
              <w:t xml:space="preserve">  @Z55</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eastAsia="Times New Roman" w:cs="Arial"/>
                <w:bCs/>
                <w:szCs w:val="20"/>
                <w:lang w:eastAsia="en-AU"/>
              </w:rPr>
            </w:pPr>
            <w:r w:rsidRPr="00D460D1">
              <w:rPr>
                <w:rFonts w:eastAsia="Times New Roman" w:cs="Arial"/>
                <w:bCs/>
                <w:szCs w:val="20"/>
                <w:lang w:eastAsia="en-AU"/>
              </w:rPr>
              <w:t xml:space="preserve">6.0 </w:t>
            </w:r>
            <w:r w:rsidRPr="00D460D1">
              <w:rPr>
                <w:rFonts w:cs="Arial"/>
                <w:szCs w:val="20"/>
              </w:rPr>
              <w:t>(130)</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w:t>
            </w:r>
          </w:p>
        </w:tc>
      </w:tr>
      <w:tr w:rsidR="00D460D1" w:rsidRPr="00D460D1" w:rsidTr="00B861A9">
        <w:trPr>
          <w:trHeight w:val="227"/>
        </w:trPr>
        <w:tc>
          <w:tcPr>
            <w:tcW w:w="2844" w:type="dxa"/>
            <w:shd w:val="clear" w:color="auto" w:fill="auto"/>
            <w:noWrap/>
            <w:vAlign w:val="center"/>
          </w:tcPr>
          <w:p w:rsidR="00D60BB9" w:rsidRPr="00D460D1" w:rsidRDefault="00D60BB9" w:rsidP="004F753A">
            <w:pPr>
              <w:spacing w:after="0" w:line="240" w:lineRule="auto"/>
              <w:rPr>
                <w:rFonts w:cs="Arial"/>
                <w:szCs w:val="20"/>
              </w:rPr>
            </w:pPr>
          </w:p>
        </w:tc>
        <w:tc>
          <w:tcPr>
            <w:tcW w:w="1417" w:type="dxa"/>
            <w:shd w:val="clear" w:color="auto" w:fill="auto"/>
            <w:noWrap/>
            <w:vAlign w:val="center"/>
          </w:tcPr>
          <w:p w:rsidR="00D60BB9" w:rsidRPr="00D460D1" w:rsidRDefault="00D60BB9" w:rsidP="00D60BB9">
            <w:pPr>
              <w:spacing w:after="0" w:line="240" w:lineRule="auto"/>
              <w:ind w:left="227"/>
              <w:jc w:val="center"/>
              <w:rPr>
                <w:rFonts w:cs="Arial"/>
                <w:szCs w:val="20"/>
              </w:rPr>
            </w:pPr>
          </w:p>
        </w:tc>
        <w:tc>
          <w:tcPr>
            <w:tcW w:w="1417" w:type="dxa"/>
            <w:vAlign w:val="center"/>
          </w:tcPr>
          <w:p w:rsidR="00D60BB9" w:rsidRPr="00D460D1" w:rsidRDefault="00D60BB9" w:rsidP="00112D5D">
            <w:pPr>
              <w:spacing w:after="0" w:line="240" w:lineRule="auto"/>
              <w:jc w:val="center"/>
              <w:rPr>
                <w:rFonts w:cs="Arial"/>
                <w:szCs w:val="20"/>
              </w:rPr>
            </w:pPr>
          </w:p>
        </w:tc>
        <w:tc>
          <w:tcPr>
            <w:tcW w:w="1417" w:type="dxa"/>
            <w:vAlign w:val="center"/>
          </w:tcPr>
          <w:p w:rsidR="00D60BB9" w:rsidRPr="00D460D1" w:rsidRDefault="00D60BB9" w:rsidP="004F753A">
            <w:pPr>
              <w:spacing w:after="0" w:line="240" w:lineRule="auto"/>
              <w:jc w:val="center"/>
              <w:rPr>
                <w:rFonts w:cs="Arial"/>
                <w:szCs w:val="20"/>
              </w:rPr>
            </w:pPr>
          </w:p>
        </w:tc>
        <w:tc>
          <w:tcPr>
            <w:tcW w:w="1417" w:type="dxa"/>
            <w:vAlign w:val="center"/>
          </w:tcPr>
          <w:p w:rsidR="00D60BB9" w:rsidRPr="00D460D1" w:rsidRDefault="00D60BB9" w:rsidP="004F753A">
            <w:pPr>
              <w:spacing w:after="0" w:line="240" w:lineRule="auto"/>
              <w:jc w:val="center"/>
              <w:rPr>
                <w:rFonts w:cs="Arial"/>
                <w:szCs w:val="20"/>
              </w:rPr>
            </w:pPr>
          </w:p>
        </w:tc>
      </w:tr>
      <w:tr w:rsidR="00D460D1" w:rsidRPr="00D460D1" w:rsidTr="00B861A9">
        <w:trPr>
          <w:trHeight w:val="283"/>
        </w:trPr>
        <w:tc>
          <w:tcPr>
            <w:tcW w:w="2844" w:type="dxa"/>
            <w:shd w:val="clear" w:color="auto" w:fill="auto"/>
            <w:noWrap/>
            <w:vAlign w:val="center"/>
            <w:hideMark/>
          </w:tcPr>
          <w:p w:rsidR="00D60BB9" w:rsidRPr="00D460D1" w:rsidRDefault="00D60BB9" w:rsidP="004F753A">
            <w:pPr>
              <w:spacing w:after="0" w:line="240" w:lineRule="auto"/>
              <w:rPr>
                <w:rFonts w:cs="Arial"/>
                <w:szCs w:val="20"/>
              </w:rPr>
            </w:pPr>
            <w:r w:rsidRPr="00D460D1">
              <w:rPr>
                <w:rFonts w:cs="Arial"/>
                <w:szCs w:val="20"/>
              </w:rPr>
              <w:t>p-value</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cs="Arial"/>
                <w:szCs w:val="20"/>
              </w:rPr>
            </w:pPr>
            <w:r w:rsidRPr="00D460D1">
              <w:rPr>
                <w:rFonts w:cs="Arial"/>
                <w:szCs w:val="20"/>
              </w:rPr>
              <w:t>*</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ns</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0.009</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ns</w:t>
            </w:r>
          </w:p>
        </w:tc>
      </w:tr>
      <w:tr w:rsidR="00D460D1" w:rsidRPr="00D460D1" w:rsidTr="00B861A9">
        <w:trPr>
          <w:trHeight w:val="283"/>
        </w:trPr>
        <w:tc>
          <w:tcPr>
            <w:tcW w:w="2844" w:type="dxa"/>
            <w:shd w:val="clear" w:color="auto" w:fill="auto"/>
            <w:noWrap/>
            <w:vAlign w:val="center"/>
            <w:hideMark/>
          </w:tcPr>
          <w:p w:rsidR="00D60BB9" w:rsidRPr="00D460D1" w:rsidRDefault="00D60BB9" w:rsidP="004F753A">
            <w:pPr>
              <w:spacing w:after="0" w:line="240" w:lineRule="auto"/>
              <w:rPr>
                <w:rFonts w:cs="Arial"/>
                <w:szCs w:val="20"/>
              </w:rPr>
            </w:pPr>
            <w:proofErr w:type="spellStart"/>
            <w:r w:rsidRPr="00D460D1">
              <w:rPr>
                <w:rFonts w:cs="Arial"/>
                <w:szCs w:val="20"/>
              </w:rPr>
              <w:t>Lsd</w:t>
            </w:r>
            <w:proofErr w:type="spellEnd"/>
            <w:r w:rsidRPr="00D460D1">
              <w:rPr>
                <w:rFonts w:cs="Arial"/>
                <w:szCs w:val="20"/>
              </w:rPr>
              <w:t xml:space="preserve"> (5%)</w:t>
            </w:r>
          </w:p>
        </w:tc>
        <w:tc>
          <w:tcPr>
            <w:tcW w:w="1417" w:type="dxa"/>
            <w:shd w:val="clear" w:color="auto" w:fill="auto"/>
            <w:noWrap/>
            <w:vAlign w:val="center"/>
            <w:hideMark/>
          </w:tcPr>
          <w:p w:rsidR="00D60BB9" w:rsidRPr="00D460D1" w:rsidRDefault="00D60BB9" w:rsidP="00D60BB9">
            <w:pPr>
              <w:spacing w:after="0" w:line="240" w:lineRule="auto"/>
              <w:ind w:left="227"/>
              <w:jc w:val="center"/>
              <w:rPr>
                <w:rFonts w:cs="Arial"/>
                <w:szCs w:val="20"/>
              </w:rPr>
            </w:pPr>
            <w:r w:rsidRPr="00D460D1">
              <w:rPr>
                <w:rFonts w:cs="Arial"/>
                <w:szCs w:val="20"/>
              </w:rPr>
              <w:t>0.7</w:t>
            </w:r>
          </w:p>
        </w:tc>
        <w:tc>
          <w:tcPr>
            <w:tcW w:w="1417" w:type="dxa"/>
            <w:vAlign w:val="center"/>
          </w:tcPr>
          <w:p w:rsidR="00D60BB9" w:rsidRPr="00D460D1" w:rsidRDefault="00D60BB9" w:rsidP="00112D5D">
            <w:pPr>
              <w:spacing w:after="0" w:line="240" w:lineRule="auto"/>
              <w:jc w:val="center"/>
              <w:rPr>
                <w:rFonts w:cs="Arial"/>
                <w:szCs w:val="20"/>
              </w:rPr>
            </w:pPr>
            <w:r w:rsidRPr="00D460D1">
              <w:rPr>
                <w:rFonts w:cs="Arial"/>
                <w:szCs w:val="20"/>
              </w:rPr>
              <w:t>0.21</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0.38</w:t>
            </w:r>
          </w:p>
        </w:tc>
        <w:tc>
          <w:tcPr>
            <w:tcW w:w="1417" w:type="dxa"/>
            <w:vAlign w:val="center"/>
          </w:tcPr>
          <w:p w:rsidR="00D60BB9" w:rsidRPr="00D460D1" w:rsidRDefault="00D60BB9" w:rsidP="004F753A">
            <w:pPr>
              <w:spacing w:after="0" w:line="240" w:lineRule="auto"/>
              <w:jc w:val="center"/>
              <w:rPr>
                <w:rFonts w:cs="Arial"/>
                <w:szCs w:val="20"/>
              </w:rPr>
            </w:pPr>
            <w:r w:rsidRPr="00D460D1">
              <w:rPr>
                <w:rFonts w:cs="Arial"/>
                <w:szCs w:val="20"/>
              </w:rPr>
              <w:t>0.46</w:t>
            </w:r>
          </w:p>
        </w:tc>
      </w:tr>
    </w:tbl>
    <w:p w:rsidR="00CF4691" w:rsidRPr="0077044E" w:rsidRDefault="00855DB8" w:rsidP="00CF4691">
      <w:pPr>
        <w:rPr>
          <w:rFonts w:cs="Arial"/>
          <w:szCs w:val="20"/>
        </w:rPr>
      </w:pPr>
      <w:r>
        <w:rPr>
          <w:rFonts w:cs="Arial"/>
          <w:szCs w:val="20"/>
        </w:rPr>
        <w:t xml:space="preserve">Note: </w:t>
      </w:r>
      <w:r w:rsidRPr="0077044E">
        <w:rPr>
          <w:rFonts w:cs="Arial"/>
          <w:szCs w:val="20"/>
        </w:rPr>
        <w:t xml:space="preserve">SD = seed dressing, IF = coated on fertiliser applied in-furrow </w:t>
      </w:r>
      <w:r w:rsidR="00CD699F">
        <w:rPr>
          <w:rFonts w:cs="Arial"/>
          <w:szCs w:val="20"/>
        </w:rPr>
        <w:br/>
      </w:r>
      <w:r>
        <w:rPr>
          <w:rFonts w:cs="Arial"/>
          <w:szCs w:val="20"/>
        </w:rPr>
        <w:t>* Tilt 250EC</w:t>
      </w:r>
      <w:r w:rsidRPr="00357E03">
        <w:rPr>
          <w:rFonts w:cs="Arial"/>
          <w:szCs w:val="20"/>
          <w:vertAlign w:val="superscript"/>
        </w:rPr>
        <w:t>®</w:t>
      </w:r>
      <w:r>
        <w:rPr>
          <w:rFonts w:cs="Arial"/>
          <w:szCs w:val="20"/>
        </w:rPr>
        <w:t xml:space="preserve"> at Geraldton, Prosaro</w:t>
      </w:r>
      <w:r w:rsidRPr="00357E03">
        <w:rPr>
          <w:rFonts w:cs="Arial"/>
          <w:szCs w:val="20"/>
          <w:vertAlign w:val="superscript"/>
        </w:rPr>
        <w:t>®</w:t>
      </w:r>
      <w:r>
        <w:rPr>
          <w:rFonts w:cs="Arial"/>
          <w:szCs w:val="20"/>
        </w:rPr>
        <w:t xml:space="preserve"> at Dalwallinu, Moora, Tambellup</w:t>
      </w:r>
      <w:r w:rsidR="00CD699F">
        <w:rPr>
          <w:rFonts w:cs="Arial"/>
          <w:szCs w:val="20"/>
        </w:rPr>
        <w:br/>
      </w:r>
      <w:r w:rsidRPr="00D460D1">
        <w:rPr>
          <w:vertAlign w:val="superscript"/>
        </w:rPr>
        <w:t>#</w:t>
      </w:r>
      <w:r w:rsidRPr="00D460D1">
        <w:t xml:space="preserve"> Yield as % of Untreated control</w:t>
      </w:r>
      <w:r w:rsidRPr="00D460D1">
        <w:br/>
      </w:r>
    </w:p>
    <w:p w:rsidR="008C6588" w:rsidRDefault="003B6DA6" w:rsidP="008F2638">
      <w:pPr>
        <w:pStyle w:val="Heading2"/>
      </w:pPr>
      <w:r w:rsidRPr="008F2638">
        <w:lastRenderedPageBreak/>
        <w:t>C</w:t>
      </w:r>
      <w:r w:rsidR="008C6588" w:rsidRPr="008F2638">
        <w:t>onclusion</w:t>
      </w:r>
    </w:p>
    <w:p w:rsidR="00C06C16" w:rsidRPr="00CA12D4" w:rsidRDefault="00C06C16" w:rsidP="00CA12D4">
      <w:pPr>
        <w:tabs>
          <w:tab w:val="left" w:pos="0"/>
        </w:tabs>
        <w:jc w:val="both"/>
      </w:pPr>
      <w:r w:rsidRPr="00CA12D4">
        <w:t>A range of seed dressing and in-furrow products are registered in wheat for diseases including smuts and bunts, rhizoctonia root rot, wheat rusts, yellow spot</w:t>
      </w:r>
      <w:r w:rsidR="00FB6172">
        <w:t xml:space="preserve"> and </w:t>
      </w:r>
      <w:r w:rsidRPr="00CA12D4">
        <w:t>septoria tritici</w:t>
      </w:r>
      <w:r w:rsidR="009F0D09">
        <w:t xml:space="preserve"> but none are currently registered for powdery mildew</w:t>
      </w:r>
      <w:r w:rsidRPr="00CA12D4">
        <w:t xml:space="preserve">. </w:t>
      </w:r>
      <w:r w:rsidR="003B08D9" w:rsidRPr="00CA12D4">
        <w:t xml:space="preserve">All </w:t>
      </w:r>
      <w:r w:rsidR="009F0D09">
        <w:t xml:space="preserve">products </w:t>
      </w:r>
      <w:r w:rsidR="003B08D9" w:rsidRPr="00CA12D4">
        <w:t xml:space="preserve">tested </w:t>
      </w:r>
      <w:r w:rsidR="009F0D09">
        <w:t>in these trials</w:t>
      </w:r>
      <w:r w:rsidR="009F0D09" w:rsidRPr="00CA12D4">
        <w:t xml:space="preserve"> </w:t>
      </w:r>
      <w:r w:rsidR="003B08D9">
        <w:t xml:space="preserve">are registered </w:t>
      </w:r>
      <w:r w:rsidR="009F0D09">
        <w:t xml:space="preserve">for use </w:t>
      </w:r>
      <w:r w:rsidR="003B08D9">
        <w:t>in wheat</w:t>
      </w:r>
      <w:r w:rsidR="009F0D09">
        <w:t xml:space="preserve"> and there is great interest to see how they </w:t>
      </w:r>
      <w:r w:rsidR="00FB6172">
        <w:t>influence</w:t>
      </w:r>
      <w:r w:rsidR="009F0D09">
        <w:t xml:space="preserve"> powdery mildew</w:t>
      </w:r>
      <w:r w:rsidR="00FB6172">
        <w:t xml:space="preserve"> development</w:t>
      </w:r>
      <w:r w:rsidR="003B08D9">
        <w:t xml:space="preserve">. </w:t>
      </w:r>
      <w:r w:rsidRPr="00CA12D4">
        <w:t xml:space="preserve">These products are </w:t>
      </w:r>
      <w:r w:rsidR="005E146C">
        <w:t xml:space="preserve">currently </w:t>
      </w:r>
      <w:r w:rsidRPr="00CA12D4">
        <w:t xml:space="preserve">used prophylactically to address </w:t>
      </w:r>
      <w:r w:rsidR="009F0D09">
        <w:t xml:space="preserve">a wide range of </w:t>
      </w:r>
      <w:r w:rsidRPr="00CA12D4">
        <w:t>disease risk</w:t>
      </w:r>
      <w:r w:rsidR="009F0D09">
        <w:t>s</w:t>
      </w:r>
      <w:r w:rsidR="005E146C">
        <w:t>. W</w:t>
      </w:r>
      <w:r w:rsidRPr="00CA12D4">
        <w:t xml:space="preserve">hen disease occurs they can delay </w:t>
      </w:r>
      <w:r w:rsidR="0066495E">
        <w:t xml:space="preserve">disease onset and reduce </w:t>
      </w:r>
      <w:r w:rsidRPr="00CA12D4">
        <w:t>or eliminate the need for foliar applications</w:t>
      </w:r>
      <w:r w:rsidR="005E146C">
        <w:t xml:space="preserve"> but</w:t>
      </w:r>
      <w:r w:rsidR="005C5F3B">
        <w:t xml:space="preserve"> </w:t>
      </w:r>
      <w:r w:rsidR="00295C67">
        <w:t xml:space="preserve">with low </w:t>
      </w:r>
      <w:r w:rsidRPr="00CA12D4">
        <w:t>disease</w:t>
      </w:r>
      <w:r w:rsidR="005C5F3B">
        <w:t xml:space="preserve"> </w:t>
      </w:r>
      <w:r w:rsidR="00295C67">
        <w:t xml:space="preserve">severity </w:t>
      </w:r>
      <w:r w:rsidR="005C5F3B">
        <w:t>they</w:t>
      </w:r>
      <w:r w:rsidRPr="00CA12D4">
        <w:t xml:space="preserve"> are unlikely to provide yield benefit.</w:t>
      </w:r>
      <w:r w:rsidR="0066495E">
        <w:t xml:space="preserve"> The benefit of systemic fungicides applied at seeding is through the fungicide being available in newly emerging leaves, providing a continuous source of protection. The length of protection varies between products, rates and diseases encountered.</w:t>
      </w:r>
      <w:r w:rsidR="0066495E" w:rsidRPr="0066495E">
        <w:t xml:space="preserve"> </w:t>
      </w:r>
    </w:p>
    <w:p w:rsidR="007143D6" w:rsidRPr="00CA12D4" w:rsidRDefault="0066495E" w:rsidP="00CA12D4">
      <w:pPr>
        <w:tabs>
          <w:tab w:val="left" w:pos="0"/>
        </w:tabs>
        <w:jc w:val="both"/>
      </w:pPr>
      <w:r>
        <w:t xml:space="preserve">All products </w:t>
      </w:r>
      <w:r w:rsidR="005C5F3B">
        <w:t xml:space="preserve">tested </w:t>
      </w:r>
      <w:r w:rsidR="007143D6" w:rsidRPr="00CA12D4">
        <w:t xml:space="preserve">reduced incidence and severity of </w:t>
      </w:r>
      <w:r w:rsidR="003B08D9">
        <w:t>PM</w:t>
      </w:r>
      <w:r w:rsidR="007143D6" w:rsidRPr="00CA12D4">
        <w:t xml:space="preserve"> at </w:t>
      </w:r>
      <w:r w:rsidR="00CA12D4" w:rsidRPr="00CA12D4">
        <w:t xml:space="preserve">the Geraldton site resulting in </w:t>
      </w:r>
      <w:r w:rsidR="00FB6172">
        <w:t>at least</w:t>
      </w:r>
      <w:r w:rsidR="00CA12D4" w:rsidRPr="00CA12D4">
        <w:t xml:space="preserve"> 0.6t/ha yield response. At this site with disease occurring during stem extension and conditions favouring disease development, the at-seeding treatments provided similar benefit as foliar applications at Z31 or Z39</w:t>
      </w:r>
      <w:r w:rsidR="005C5F3B">
        <w:t>. G</w:t>
      </w:r>
      <w:r w:rsidR="00CA12D4" w:rsidRPr="00CA12D4">
        <w:t xml:space="preserve">reater response may have been evident </w:t>
      </w:r>
      <w:r w:rsidR="005C5F3B">
        <w:t>if</w:t>
      </w:r>
      <w:r w:rsidR="005C5F3B" w:rsidRPr="00CA12D4">
        <w:t xml:space="preserve"> </w:t>
      </w:r>
      <w:r w:rsidR="00CA12D4" w:rsidRPr="00CA12D4">
        <w:t xml:space="preserve">at-seeding </w:t>
      </w:r>
      <w:r w:rsidR="005C5F3B">
        <w:t xml:space="preserve">treatments had been followed by </w:t>
      </w:r>
      <w:r w:rsidR="00CA12D4" w:rsidRPr="00CA12D4">
        <w:t>foliar applications.</w:t>
      </w:r>
    </w:p>
    <w:p w:rsidR="00CA12D4" w:rsidRDefault="00CA12D4" w:rsidP="00CA12D4">
      <w:pPr>
        <w:tabs>
          <w:tab w:val="left" w:pos="0"/>
        </w:tabs>
        <w:jc w:val="both"/>
      </w:pPr>
      <w:r w:rsidRPr="00CA12D4">
        <w:t xml:space="preserve">Similarly at Dalwallinu where </w:t>
      </w:r>
      <w:r w:rsidR="003B08D9">
        <w:t>PM</w:t>
      </w:r>
      <w:r w:rsidRPr="00CA12D4">
        <w:t xml:space="preserve"> occurred during stem extension</w:t>
      </w:r>
      <w:r>
        <w:t>,</w:t>
      </w:r>
      <w:r w:rsidRPr="00CA12D4">
        <w:t xml:space="preserve"> at-seeding treatments and a foliar application at </w:t>
      </w:r>
      <w:r w:rsidR="00FB6172" w:rsidRPr="00CA12D4">
        <w:t>Z3</w:t>
      </w:r>
      <w:r w:rsidR="00FB6172">
        <w:t>0</w:t>
      </w:r>
      <w:r w:rsidR="00FB6172" w:rsidRPr="00CA12D4">
        <w:t xml:space="preserve"> </w:t>
      </w:r>
      <w:r w:rsidRPr="00CA12D4">
        <w:t xml:space="preserve">delayed development of disease, however at this site </w:t>
      </w:r>
      <w:r w:rsidR="003B08D9">
        <w:t xml:space="preserve">environmental </w:t>
      </w:r>
      <w:r w:rsidRPr="00CA12D4">
        <w:t xml:space="preserve">conditions </w:t>
      </w:r>
      <w:r w:rsidR="003B08D9">
        <w:t xml:space="preserve">were not conducive for </w:t>
      </w:r>
      <w:r w:rsidR="0066495E">
        <w:t>continuing disease development</w:t>
      </w:r>
      <w:r w:rsidR="00FB6172">
        <w:t>, disease severity was low</w:t>
      </w:r>
      <w:r w:rsidR="0066495E">
        <w:t xml:space="preserve"> </w:t>
      </w:r>
      <w:r w:rsidRPr="00CA12D4">
        <w:t>and</w:t>
      </w:r>
      <w:r w:rsidR="0066495E">
        <w:t xml:space="preserve"> the</w:t>
      </w:r>
      <w:r w:rsidRPr="00CA12D4">
        <w:t xml:space="preserve"> epidemic </w:t>
      </w:r>
      <w:r w:rsidR="0066495E">
        <w:t>diminished</w:t>
      </w:r>
      <w:r w:rsidRPr="00CA12D4">
        <w:t xml:space="preserve"> naturally</w:t>
      </w:r>
      <w:r w:rsidR="0066495E">
        <w:t xml:space="preserve"> </w:t>
      </w:r>
      <w:r w:rsidR="00FB6172">
        <w:t>by flowering</w:t>
      </w:r>
      <w:r w:rsidRPr="00CA12D4">
        <w:t xml:space="preserve">. </w:t>
      </w:r>
    </w:p>
    <w:p w:rsidR="00CA12D4" w:rsidRDefault="00CA12D4" w:rsidP="00CA12D4">
      <w:pPr>
        <w:tabs>
          <w:tab w:val="left" w:pos="0"/>
        </w:tabs>
        <w:jc w:val="both"/>
      </w:pPr>
      <w:r>
        <w:t>At two of four sites, at-seeding fungicides were demonstrated to have</w:t>
      </w:r>
      <w:r w:rsidR="00095270">
        <w:t xml:space="preserve"> a</w:t>
      </w:r>
      <w:r>
        <w:t xml:space="preserve"> significant effect on </w:t>
      </w:r>
      <w:r w:rsidR="003B08D9">
        <w:t>PM</w:t>
      </w:r>
      <w:r>
        <w:t xml:space="preserve"> development and at only one of four sites was a significant yield response measured. Consequently at only one site, Geraldton, was there a positive return on investment from fungicides applied at-seeding. However</w:t>
      </w:r>
      <w:r w:rsidR="00527A50">
        <w:t xml:space="preserve"> at the Dalwallinu site, some of the </w:t>
      </w:r>
      <w:r w:rsidR="00FB6172">
        <w:t xml:space="preserve">treatments applied </w:t>
      </w:r>
      <w:r>
        <w:t xml:space="preserve">at-seeding provided a delay of disease development until </w:t>
      </w:r>
      <w:r w:rsidR="00FB6172">
        <w:t xml:space="preserve">at least </w:t>
      </w:r>
      <w:r>
        <w:t xml:space="preserve">flag leaf </w:t>
      </w:r>
      <w:r w:rsidR="00FB6172">
        <w:t xml:space="preserve">emergence </w:t>
      </w:r>
      <w:r>
        <w:t xml:space="preserve">which may have prompted a decision to </w:t>
      </w:r>
      <w:r w:rsidRPr="00CA12D4">
        <w:t>not</w:t>
      </w:r>
      <w:r>
        <w:t xml:space="preserve"> apply a foliar fungicide at this time, potentially saving an in-season investment.</w:t>
      </w:r>
    </w:p>
    <w:p w:rsidR="00527A50" w:rsidRDefault="00527A50" w:rsidP="00CA12D4">
      <w:pPr>
        <w:tabs>
          <w:tab w:val="left" w:pos="0"/>
        </w:tabs>
        <w:jc w:val="both"/>
      </w:pPr>
      <w:r>
        <w:t xml:space="preserve">Differences between products </w:t>
      </w:r>
      <w:r w:rsidR="005C5F3B">
        <w:t xml:space="preserve">were </w:t>
      </w:r>
      <w:r>
        <w:t xml:space="preserve">apparent both in disease limitation and in subsequent yield response. Yield in all fungicide treatments at Geraldton was at least 13% greater than the untreated, with flutriafol </w:t>
      </w:r>
      <w:r w:rsidR="005C5F3B">
        <w:t xml:space="preserve">and </w:t>
      </w:r>
      <w:r w:rsidR="00CD699F">
        <w:t xml:space="preserve">azoxystrobin+metalaxyl </w:t>
      </w:r>
      <w:r w:rsidR="00BF11F0">
        <w:t xml:space="preserve">applied </w:t>
      </w:r>
      <w:r w:rsidR="00FB6172">
        <w:t>in-furrow</w:t>
      </w:r>
      <w:r w:rsidR="00BF11F0">
        <w:t xml:space="preserve"> </w:t>
      </w:r>
      <w:r>
        <w:t>providing significant</w:t>
      </w:r>
      <w:r w:rsidR="00BF11F0">
        <w:t xml:space="preserve"> yield responses </w:t>
      </w:r>
      <w:r w:rsidR="009F0D09">
        <w:t xml:space="preserve">while also providing </w:t>
      </w:r>
      <w:r w:rsidR="00FB6172">
        <w:t xml:space="preserve">lasting </w:t>
      </w:r>
      <w:r w:rsidR="009F0D09">
        <w:t>protection from disease</w:t>
      </w:r>
      <w:r>
        <w:t>. At Dalwallinu, flutriafo</w:t>
      </w:r>
      <w:r w:rsidR="00CD699F">
        <w:t xml:space="preserve">l in-furrow and triadimenol </w:t>
      </w:r>
      <w:r>
        <w:t xml:space="preserve">and </w:t>
      </w:r>
      <w:r w:rsidR="00CD699F">
        <w:t>fluquinconazole seed dressing</w:t>
      </w:r>
      <w:r>
        <w:t xml:space="preserve"> provided greatest delay in disease build-up.</w:t>
      </w:r>
    </w:p>
    <w:p w:rsidR="00A838D3" w:rsidRDefault="00A838D3" w:rsidP="00B434BE">
      <w:pPr>
        <w:tabs>
          <w:tab w:val="left" w:pos="0"/>
        </w:tabs>
        <w:jc w:val="both"/>
      </w:pPr>
      <w:r>
        <w:t>Some care and awareness of risks associated with fungicide resistance should be employed in utilisation of these products, particularly for powdery mildew. Despite being applied prior to crop growth, seed dressing and in-furrow fungicides are the first application in a seasonal fungicide program and therefore subsequent foliar fungicide choice and fungicide group rotation needs to account for the active ingredient used.</w:t>
      </w:r>
    </w:p>
    <w:p w:rsidR="00527A50" w:rsidRDefault="00E82EDD" w:rsidP="00CA12D4">
      <w:pPr>
        <w:tabs>
          <w:tab w:val="left" w:pos="0"/>
        </w:tabs>
        <w:jc w:val="both"/>
      </w:pPr>
      <w:r>
        <w:t>The</w:t>
      </w:r>
      <w:r w:rsidR="004D626F">
        <w:t xml:space="preserve"> seed </w:t>
      </w:r>
      <w:r w:rsidR="00527A50">
        <w:t xml:space="preserve">dressing and </w:t>
      </w:r>
      <w:r w:rsidR="003B08D9">
        <w:t>in-furrow</w:t>
      </w:r>
      <w:r w:rsidR="00527A50">
        <w:t xml:space="preserve"> fungicide</w:t>
      </w:r>
      <w:r w:rsidR="006D4FA8">
        <w:t xml:space="preserve"> ingredients</w:t>
      </w:r>
      <w:r w:rsidR="004D626F">
        <w:t xml:space="preserve"> </w:t>
      </w:r>
      <w:r w:rsidR="00031DD2">
        <w:t xml:space="preserve">applied </w:t>
      </w:r>
      <w:r w:rsidR="004D626F">
        <w:t>in these</w:t>
      </w:r>
      <w:r w:rsidR="006D4FA8">
        <w:t xml:space="preserve"> trials can </w:t>
      </w:r>
      <w:r w:rsidR="00527A50">
        <w:t xml:space="preserve">delay or </w:t>
      </w:r>
      <w:r w:rsidR="004D626F">
        <w:t xml:space="preserve">reduce </w:t>
      </w:r>
      <w:r w:rsidR="003B08D9">
        <w:t>PM</w:t>
      </w:r>
      <w:r w:rsidR="00527A50">
        <w:t xml:space="preserve"> infection</w:t>
      </w:r>
      <w:r w:rsidR="00031DD2">
        <w:t xml:space="preserve"> at the rates tested</w:t>
      </w:r>
      <w:r>
        <w:t>. W</w:t>
      </w:r>
      <w:r w:rsidR="00527A50">
        <w:t xml:space="preserve">here </w:t>
      </w:r>
      <w:r w:rsidR="003B08D9">
        <w:t xml:space="preserve">PM </w:t>
      </w:r>
      <w:r w:rsidR="00527A50">
        <w:t xml:space="preserve">infection becomes severe </w:t>
      </w:r>
      <w:r>
        <w:t>they can</w:t>
      </w:r>
      <w:r w:rsidR="00527A50">
        <w:t xml:space="preserve"> provide a yield response</w:t>
      </w:r>
      <w:r w:rsidR="005C5F3B">
        <w:t xml:space="preserve">, particularly if disease occurs </w:t>
      </w:r>
      <w:r w:rsidR="006D4FA8">
        <w:t xml:space="preserve">at </w:t>
      </w:r>
      <w:r w:rsidR="005C5F3B">
        <w:t xml:space="preserve">early </w:t>
      </w:r>
      <w:r w:rsidR="006D4FA8">
        <w:t xml:space="preserve">growth stages </w:t>
      </w:r>
      <w:r w:rsidR="005C5F3B">
        <w:t>such as during stem extension</w:t>
      </w:r>
      <w:r w:rsidR="00527A50">
        <w:t xml:space="preserve">. In the absence of diseases that are affected by these products, or when infection is not severe then yield responses </w:t>
      </w:r>
      <w:r w:rsidR="006D4FA8">
        <w:t>and positive return on investment may not occur</w:t>
      </w:r>
      <w:r>
        <w:t>.</w:t>
      </w:r>
    </w:p>
    <w:p w:rsidR="009F0D09" w:rsidRDefault="009F0D09" w:rsidP="00CA12D4">
      <w:pPr>
        <w:tabs>
          <w:tab w:val="left" w:pos="0"/>
        </w:tabs>
        <w:jc w:val="both"/>
      </w:pPr>
    </w:p>
    <w:p w:rsidR="009F0D09" w:rsidRDefault="009F0D09" w:rsidP="00CA12D4">
      <w:pPr>
        <w:tabs>
          <w:tab w:val="left" w:pos="0"/>
        </w:tabs>
        <w:jc w:val="both"/>
      </w:pPr>
      <w:r w:rsidRPr="00FB6172">
        <w:rPr>
          <w:b/>
        </w:rPr>
        <w:t>Disclaimer</w:t>
      </w:r>
      <w:r w:rsidR="00EB69F7">
        <w:t>: W</w:t>
      </w:r>
      <w:r>
        <w:t>e are reporting on seed dressing</w:t>
      </w:r>
      <w:r w:rsidR="00EB69F7">
        <w:t xml:space="preserve"> </w:t>
      </w:r>
      <w:r>
        <w:t>/</w:t>
      </w:r>
      <w:r w:rsidR="00EB69F7">
        <w:t xml:space="preserve"> </w:t>
      </w:r>
      <w:r>
        <w:t>in</w:t>
      </w:r>
      <w:r w:rsidR="00EB69F7">
        <w:t>-</w:t>
      </w:r>
      <w:r>
        <w:t xml:space="preserve">furrow </w:t>
      </w:r>
      <w:r w:rsidR="00EB69F7">
        <w:t xml:space="preserve">fungicide </w:t>
      </w:r>
      <w:r>
        <w:t xml:space="preserve">products that are </w:t>
      </w:r>
      <w:r w:rsidR="00EB69F7">
        <w:t xml:space="preserve">registered </w:t>
      </w:r>
      <w:r w:rsidR="006D4FA8">
        <w:t xml:space="preserve">for this use pattern </w:t>
      </w:r>
      <w:r w:rsidR="00EB69F7">
        <w:t xml:space="preserve">in wheat but </w:t>
      </w:r>
      <w:r>
        <w:t>not currently registered for powdery mildew</w:t>
      </w:r>
      <w:r w:rsidR="00EB69F7">
        <w:t xml:space="preserve"> control, these products were tested in research </w:t>
      </w:r>
      <w:r w:rsidR="00E17722">
        <w:t xml:space="preserve">experiments and results </w:t>
      </w:r>
      <w:r w:rsidR="00EB69F7">
        <w:t xml:space="preserve">are </w:t>
      </w:r>
      <w:r w:rsidR="00E17722">
        <w:t>presented here for scientific audience</w:t>
      </w:r>
      <w:r w:rsidR="000650D3">
        <w:t>s</w:t>
      </w:r>
      <w:r w:rsidR="00E17722">
        <w:t xml:space="preserve">. </w:t>
      </w:r>
      <w:r w:rsidR="00EB69F7">
        <w:t xml:space="preserve">We do not make a recommendation for </w:t>
      </w:r>
      <w:r w:rsidR="00E17722">
        <w:t xml:space="preserve">use of these products for powdery mildew </w:t>
      </w:r>
      <w:r w:rsidR="00EB69F7">
        <w:t xml:space="preserve">control </w:t>
      </w:r>
      <w:r w:rsidR="00E17722">
        <w:t xml:space="preserve">as they are currently not registered for this purpose. </w:t>
      </w:r>
    </w:p>
    <w:p w:rsidR="008C6588" w:rsidRDefault="008C6588" w:rsidP="008F2638">
      <w:pPr>
        <w:pStyle w:val="Heading2"/>
      </w:pPr>
      <w:r>
        <w:t xml:space="preserve">Key </w:t>
      </w:r>
      <w:r w:rsidRPr="008F2638">
        <w:t>words</w:t>
      </w:r>
    </w:p>
    <w:p w:rsidR="008C6588" w:rsidRDefault="007143D6" w:rsidP="00897B1A">
      <w:r>
        <w:t>Wheat</w:t>
      </w:r>
      <w:r w:rsidR="007D06D2">
        <w:t xml:space="preserve">, seed dressing fungicide, In-furrow fungicide, </w:t>
      </w:r>
      <w:r>
        <w:t>powdery mildew</w:t>
      </w:r>
    </w:p>
    <w:p w:rsidR="00D04F6F" w:rsidRDefault="00D04F6F" w:rsidP="008F2638">
      <w:pPr>
        <w:pStyle w:val="Heading2"/>
      </w:pPr>
      <w:r>
        <w:t>References</w:t>
      </w:r>
    </w:p>
    <w:p w:rsidR="00D04F6F" w:rsidRDefault="007143D6" w:rsidP="00390A9B">
      <w:pPr>
        <w:spacing w:line="240" w:lineRule="auto"/>
      </w:pPr>
      <w:r>
        <w:t>Ciara Beard, Geoff Thomas, Anne Smith, Andrea Hills, Elly Wainwright, Michael Macpherson, Brad Westphal, Phil Smyth and Leigh Nairn</w:t>
      </w:r>
      <w:r w:rsidR="00D04F6F">
        <w:t xml:space="preserve"> (2016) </w:t>
      </w:r>
      <w:r>
        <w:t>Foliar fungicide strategies for Managing Wheat Powdery mildew</w:t>
      </w:r>
      <w:r w:rsidR="00D04F6F">
        <w:t xml:space="preserve">. 2016 </w:t>
      </w:r>
      <w:r w:rsidR="00D04F6F" w:rsidRPr="00D04F6F">
        <w:t xml:space="preserve">GRDC Grains Research Update, Perth </w:t>
      </w:r>
      <w:r>
        <w:t>h</w:t>
      </w:r>
      <w:r w:rsidRPr="007143D6">
        <w:t>ttp://www.giwa.org.au/_literature_210420/Beard_Ciara_Powdery_mildew_paper_GRDC_Grains_Research_Updates_2016</w:t>
      </w:r>
    </w:p>
    <w:p w:rsidR="008C6588" w:rsidRDefault="003B6DA6" w:rsidP="008F2638">
      <w:pPr>
        <w:pStyle w:val="Heading2"/>
      </w:pPr>
      <w:r w:rsidRPr="008F2638">
        <w:t>A</w:t>
      </w:r>
      <w:r w:rsidR="008C6588" w:rsidRPr="008F2638">
        <w:t>cknowledgments</w:t>
      </w:r>
    </w:p>
    <w:p w:rsidR="008C6588" w:rsidRDefault="007D06D2" w:rsidP="00235C12">
      <w:pPr>
        <w:spacing w:after="0"/>
      </w:pPr>
      <w:r>
        <w:t>DAFWA research support units at Esperance</w:t>
      </w:r>
      <w:r w:rsidR="00031DD2">
        <w:t xml:space="preserve"> (C.Matthews, J.Delroy)</w:t>
      </w:r>
      <w:r>
        <w:t xml:space="preserve">, </w:t>
      </w:r>
      <w:r w:rsidR="007143D6">
        <w:t>Geraldton</w:t>
      </w:r>
      <w:r w:rsidR="00031DD2">
        <w:t xml:space="preserve"> (S.Cosh)</w:t>
      </w:r>
      <w:r w:rsidR="007143D6">
        <w:t>, Wongan Hills</w:t>
      </w:r>
      <w:r w:rsidR="00031DD2">
        <w:t xml:space="preserve"> (S.Dougall, B.Thorpe)</w:t>
      </w:r>
      <w:r>
        <w:t xml:space="preserve"> and Katanning</w:t>
      </w:r>
      <w:r w:rsidR="00031DD2">
        <w:t xml:space="preserve"> (D.Cox, R.Quartermaine)</w:t>
      </w:r>
      <w:r>
        <w:t xml:space="preserve"> for trial management.</w:t>
      </w:r>
    </w:p>
    <w:p w:rsidR="007143D6" w:rsidRDefault="007143D6" w:rsidP="007143D6">
      <w:pPr>
        <w:spacing w:after="0"/>
      </w:pPr>
      <w:r w:rsidRPr="007143D6">
        <w:lastRenderedPageBreak/>
        <w:t>DAFWA (Geraldton and Esperance), Stuart Witham (Tambellup), Michael Brennan and West Midlands Group (Moora), James Butcher and Liebe group (Dalwallinu) for sites</w:t>
      </w:r>
    </w:p>
    <w:p w:rsidR="007143D6" w:rsidRPr="007143D6" w:rsidRDefault="007143D6" w:rsidP="007143D6">
      <w:pPr>
        <w:pStyle w:val="Default"/>
        <w:rPr>
          <w:rFonts w:cstheme="minorBidi"/>
          <w:color w:val="404040" w:themeColor="text1" w:themeTint="BF"/>
          <w:sz w:val="20"/>
          <w:szCs w:val="22"/>
        </w:rPr>
      </w:pPr>
      <w:r w:rsidRPr="007143D6">
        <w:rPr>
          <w:rFonts w:cstheme="minorBidi"/>
          <w:color w:val="404040" w:themeColor="text1" w:themeTint="BF"/>
          <w:sz w:val="20"/>
          <w:szCs w:val="22"/>
        </w:rPr>
        <w:t>DAFWA and GRDC (DAW00229) for funding.</w:t>
      </w:r>
    </w:p>
    <w:p w:rsidR="007143D6" w:rsidRPr="007143D6" w:rsidRDefault="007143D6" w:rsidP="007143D6">
      <w:pPr>
        <w:pStyle w:val="Default"/>
        <w:ind w:left="1080" w:hanging="1080"/>
        <w:rPr>
          <w:rFonts w:cstheme="minorBidi"/>
          <w:color w:val="404040" w:themeColor="text1" w:themeTint="BF"/>
          <w:sz w:val="20"/>
          <w:szCs w:val="22"/>
        </w:rPr>
      </w:pPr>
      <w:r w:rsidRPr="007143D6">
        <w:rPr>
          <w:rFonts w:cstheme="minorBidi"/>
          <w:color w:val="404040" w:themeColor="text1" w:themeTint="BF"/>
          <w:sz w:val="20"/>
          <w:szCs w:val="22"/>
        </w:rPr>
        <w:t>Companies (BASF, Bayer, Four farmers, Syngenta) for product treatments.</w:t>
      </w:r>
    </w:p>
    <w:p w:rsidR="007143D6" w:rsidRPr="007143D6" w:rsidRDefault="007143D6" w:rsidP="007143D6">
      <w:pPr>
        <w:spacing w:after="0"/>
      </w:pPr>
    </w:p>
    <w:p w:rsidR="00EB69F7" w:rsidRDefault="008C6588" w:rsidP="00EB69F7">
      <w:pPr>
        <w:tabs>
          <w:tab w:val="left" w:pos="2268"/>
        </w:tabs>
      </w:pPr>
      <w:r>
        <w:rPr>
          <w:b/>
          <w:bCs/>
        </w:rPr>
        <w:t>GRDC Project Number:</w:t>
      </w:r>
      <w:r w:rsidR="00715DB0">
        <w:rPr>
          <w:b/>
          <w:bCs/>
        </w:rPr>
        <w:t xml:space="preserve"> </w:t>
      </w:r>
      <w:r w:rsidR="00EB69F7">
        <w:t xml:space="preserve">DAW00229 Improving grower’s surveillance, management, epidemiology knowledge and tools to manage crop disease </w:t>
      </w:r>
    </w:p>
    <w:p w:rsidR="006D4FA8" w:rsidRPr="006D4FA8" w:rsidRDefault="006D4FA8" w:rsidP="00EB69F7">
      <w:pPr>
        <w:tabs>
          <w:tab w:val="left" w:pos="2268"/>
        </w:tabs>
      </w:pPr>
      <w:r w:rsidRPr="00200AC8">
        <w:rPr>
          <w:b/>
        </w:rPr>
        <w:t xml:space="preserve">Reviewer: </w:t>
      </w:r>
      <w:r>
        <w:t>Jean Galloway (DAFWA)</w:t>
      </w:r>
    </w:p>
    <w:p w:rsidR="00EB69F7" w:rsidRDefault="00EB69F7" w:rsidP="00EB69F7">
      <w:pPr>
        <w:tabs>
          <w:tab w:val="left" w:pos="2268"/>
        </w:tabs>
      </w:pPr>
      <w:r>
        <w:t xml:space="preserve">® Registered trademark </w:t>
      </w:r>
    </w:p>
    <w:p w:rsidR="00EB69F7" w:rsidRDefault="00EB69F7" w:rsidP="00FB6172">
      <w:pPr>
        <w:pStyle w:val="ListParagraph"/>
        <w:numPr>
          <w:ilvl w:val="0"/>
          <w:numId w:val="19"/>
        </w:numPr>
        <w:tabs>
          <w:tab w:val="clear" w:pos="720"/>
          <w:tab w:val="num" w:pos="360"/>
          <w:tab w:val="left" w:pos="2268"/>
        </w:tabs>
        <w:spacing w:before="0" w:after="120"/>
        <w:ind w:left="357" w:hanging="357"/>
      </w:pPr>
      <w:r>
        <w:t xml:space="preserve">Varieties displaying this symbol are protected under the Plant Breeders Rights Act 1994 </w:t>
      </w:r>
    </w:p>
    <w:p w:rsidR="008C6588" w:rsidRDefault="00EB69F7" w:rsidP="00EB69F7">
      <w:pPr>
        <w:tabs>
          <w:tab w:val="left" w:pos="2268"/>
        </w:tabs>
      </w:pPr>
      <w:r>
        <w:t>Disclaimer: Mention of trade names does not imply endorsement or preference of any company’s product by Department of Agriculture and Food, Western Australia. Only registered fungicide products are recommended. When choosing fungicides, consider the range of diseases that threaten your crop. Consult product labels for registrations. Read and follow directions on fungicide labels carefully.</w:t>
      </w:r>
    </w:p>
    <w:sectPr w:rsidR="008C6588" w:rsidSect="009C104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B2E6A6" w15:done="0"/>
  <w15:commentEx w15:paraId="1E4759FB" w15:done="0"/>
  <w15:commentEx w15:paraId="22AD8B50" w15:done="0"/>
  <w15:commentEx w15:paraId="15A8DC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9F" w:rsidRDefault="005D349F" w:rsidP="00337B8D">
      <w:pPr>
        <w:spacing w:after="0" w:line="240" w:lineRule="auto"/>
      </w:pPr>
      <w:r>
        <w:separator/>
      </w:r>
    </w:p>
  </w:endnote>
  <w:endnote w:type="continuationSeparator" w:id="0">
    <w:p w:rsidR="005D349F" w:rsidRDefault="005D349F"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2E" w:rsidRDefault="00C319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2E" w:rsidRDefault="00C319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09" w:rsidRDefault="009F0D09" w:rsidP="00757BF6">
    <w:pPr>
      <w:pStyle w:val="Footer"/>
      <w:tabs>
        <w:tab w:val="left" w:pos="7256"/>
        <w:tab w:val="right" w:pos="10466"/>
      </w:tabs>
    </w:pPr>
    <w:r>
      <w:rPr>
        <w:noProof/>
        <w:lang w:eastAsia="en-AU"/>
      </w:rPr>
      <w:drawing>
        <wp:anchor distT="0" distB="0" distL="114300" distR="114300" simplePos="0" relativeHeight="251658240" behindDoc="0" locked="0" layoutInCell="1" allowOverlap="1" wp14:anchorId="6701D6FC" wp14:editId="4CA167F9">
          <wp:simplePos x="0" y="0"/>
          <wp:positionH relativeFrom="margin">
            <wp:posOffset>596265</wp:posOffset>
          </wp:positionH>
          <wp:positionV relativeFrom="margin">
            <wp:posOffset>9626600</wp:posOffset>
          </wp:positionV>
          <wp:extent cx="1875790" cy="303530"/>
          <wp:effectExtent l="0" t="0" r="0" b="1270"/>
          <wp:wrapSquare wrapText="bothSides"/>
          <wp:docPr id="1" name="Picture 1" title="GR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DC_Logo_INLINE_RGB300.jpg"/>
                  <pic:cNvPicPr/>
                </pic:nvPicPr>
                <pic:blipFill>
                  <a:blip r:embed="rId1">
                    <a:extLst>
                      <a:ext uri="{28A0092B-C50C-407E-A947-70E740481C1C}">
                        <a14:useLocalDpi xmlns:a14="http://schemas.microsoft.com/office/drawing/2010/main" val="0"/>
                      </a:ext>
                    </a:extLst>
                  </a:blip>
                  <a:stretch>
                    <a:fillRect/>
                  </a:stretch>
                </pic:blipFill>
                <pic:spPr>
                  <a:xfrm>
                    <a:off x="0" y="0"/>
                    <a:ext cx="1875790" cy="303530"/>
                  </a:xfrm>
                  <a:prstGeom prst="rect">
                    <a:avLst/>
                  </a:prstGeom>
                </pic:spPr>
              </pic:pic>
            </a:graphicData>
          </a:graphic>
        </wp:anchor>
      </w:drawing>
    </w:r>
    <w:bookmarkStart w:id="0" w:name="_GoBack"/>
    <w:bookmarkEnd w:id="0"/>
    <w:r w:rsidRPr="002E44E8">
      <w:rPr>
        <w:noProof/>
        <w:lang w:eastAsia="en-AU"/>
      </w:rPr>
      <w:drawing>
        <wp:anchor distT="0" distB="0" distL="114300" distR="114300" simplePos="0" relativeHeight="251659264" behindDoc="0" locked="0" layoutInCell="1" allowOverlap="1" wp14:anchorId="671EA0E8" wp14:editId="1D0FE23D">
          <wp:simplePos x="0" y="0"/>
          <wp:positionH relativeFrom="column">
            <wp:posOffset>4610100</wp:posOffset>
          </wp:positionH>
          <wp:positionV relativeFrom="paragraph">
            <wp:posOffset>62865</wp:posOffset>
          </wp:positionV>
          <wp:extent cx="1343025" cy="505045"/>
          <wp:effectExtent l="0" t="0" r="0" b="9525"/>
          <wp:wrapSquare wrapText="bothSides"/>
          <wp:docPr id="3" name="Picture 3" descr="D:\25 Nov products\Grains Research Updates logo.JPG" title="Grains Research Upd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5 Nov products\Grains Research Update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5050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9F" w:rsidRDefault="005D349F" w:rsidP="00337B8D">
      <w:pPr>
        <w:spacing w:after="0" w:line="240" w:lineRule="auto"/>
      </w:pPr>
      <w:r>
        <w:separator/>
      </w:r>
    </w:p>
  </w:footnote>
  <w:footnote w:type="continuationSeparator" w:id="0">
    <w:p w:rsidR="005D349F" w:rsidRDefault="005D349F"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2E" w:rsidRDefault="00C319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2E" w:rsidRDefault="00C319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2E" w:rsidRDefault="00C31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PBR symbol" style="width:7.95pt;height:9.35pt;visibility:visible;mso-wrap-style:square" o:bullet="t">
        <v:imagedata r:id="rId1" o:title="PBR symbol"/>
      </v:shape>
    </w:pict>
  </w:numPicBullet>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CA67637"/>
    <w:multiLevelType w:val="hybridMultilevel"/>
    <w:tmpl w:val="96B04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C75B0C"/>
    <w:multiLevelType w:val="hybridMultilevel"/>
    <w:tmpl w:val="0D2E0B62"/>
    <w:lvl w:ilvl="0" w:tplc="C88C590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E874A11"/>
    <w:multiLevelType w:val="hybridMultilevel"/>
    <w:tmpl w:val="80FC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B503C"/>
    <w:multiLevelType w:val="hybridMultilevel"/>
    <w:tmpl w:val="8E281F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417735"/>
    <w:multiLevelType w:val="hybridMultilevel"/>
    <w:tmpl w:val="0436FEC0"/>
    <w:lvl w:ilvl="0" w:tplc="A3486CA0">
      <w:start w:val="1"/>
      <w:numFmt w:val="bullet"/>
      <w:lvlText w:val="•"/>
      <w:lvlJc w:val="left"/>
      <w:pPr>
        <w:tabs>
          <w:tab w:val="num" w:pos="720"/>
        </w:tabs>
        <w:ind w:left="720" w:hanging="360"/>
      </w:pPr>
      <w:rPr>
        <w:rFonts w:ascii="Arial" w:hAnsi="Arial" w:hint="default"/>
      </w:rPr>
    </w:lvl>
    <w:lvl w:ilvl="1" w:tplc="B81ED0A0">
      <w:start w:val="1"/>
      <w:numFmt w:val="bullet"/>
      <w:lvlText w:val="•"/>
      <w:lvlJc w:val="left"/>
      <w:pPr>
        <w:tabs>
          <w:tab w:val="num" w:pos="1440"/>
        </w:tabs>
        <w:ind w:left="1440" w:hanging="360"/>
      </w:pPr>
      <w:rPr>
        <w:rFonts w:ascii="Arial" w:hAnsi="Arial" w:hint="default"/>
      </w:rPr>
    </w:lvl>
    <w:lvl w:ilvl="2" w:tplc="3EA81394" w:tentative="1">
      <w:start w:val="1"/>
      <w:numFmt w:val="bullet"/>
      <w:lvlText w:val="•"/>
      <w:lvlJc w:val="left"/>
      <w:pPr>
        <w:tabs>
          <w:tab w:val="num" w:pos="2160"/>
        </w:tabs>
        <w:ind w:left="2160" w:hanging="360"/>
      </w:pPr>
      <w:rPr>
        <w:rFonts w:ascii="Arial" w:hAnsi="Arial" w:hint="default"/>
      </w:rPr>
    </w:lvl>
    <w:lvl w:ilvl="3" w:tplc="714866B6" w:tentative="1">
      <w:start w:val="1"/>
      <w:numFmt w:val="bullet"/>
      <w:lvlText w:val="•"/>
      <w:lvlJc w:val="left"/>
      <w:pPr>
        <w:tabs>
          <w:tab w:val="num" w:pos="2880"/>
        </w:tabs>
        <w:ind w:left="2880" w:hanging="360"/>
      </w:pPr>
      <w:rPr>
        <w:rFonts w:ascii="Arial" w:hAnsi="Arial" w:hint="default"/>
      </w:rPr>
    </w:lvl>
    <w:lvl w:ilvl="4" w:tplc="EA9CFC5A" w:tentative="1">
      <w:start w:val="1"/>
      <w:numFmt w:val="bullet"/>
      <w:lvlText w:val="•"/>
      <w:lvlJc w:val="left"/>
      <w:pPr>
        <w:tabs>
          <w:tab w:val="num" w:pos="3600"/>
        </w:tabs>
        <w:ind w:left="3600" w:hanging="360"/>
      </w:pPr>
      <w:rPr>
        <w:rFonts w:ascii="Arial" w:hAnsi="Arial" w:hint="default"/>
      </w:rPr>
    </w:lvl>
    <w:lvl w:ilvl="5" w:tplc="985C9C2C" w:tentative="1">
      <w:start w:val="1"/>
      <w:numFmt w:val="bullet"/>
      <w:lvlText w:val="•"/>
      <w:lvlJc w:val="left"/>
      <w:pPr>
        <w:tabs>
          <w:tab w:val="num" w:pos="4320"/>
        </w:tabs>
        <w:ind w:left="4320" w:hanging="360"/>
      </w:pPr>
      <w:rPr>
        <w:rFonts w:ascii="Arial" w:hAnsi="Arial" w:hint="default"/>
      </w:rPr>
    </w:lvl>
    <w:lvl w:ilvl="6" w:tplc="DCF09736" w:tentative="1">
      <w:start w:val="1"/>
      <w:numFmt w:val="bullet"/>
      <w:lvlText w:val="•"/>
      <w:lvlJc w:val="left"/>
      <w:pPr>
        <w:tabs>
          <w:tab w:val="num" w:pos="5040"/>
        </w:tabs>
        <w:ind w:left="5040" w:hanging="360"/>
      </w:pPr>
      <w:rPr>
        <w:rFonts w:ascii="Arial" w:hAnsi="Arial" w:hint="default"/>
      </w:rPr>
    </w:lvl>
    <w:lvl w:ilvl="7" w:tplc="598A7FFE" w:tentative="1">
      <w:start w:val="1"/>
      <w:numFmt w:val="bullet"/>
      <w:lvlText w:val="•"/>
      <w:lvlJc w:val="left"/>
      <w:pPr>
        <w:tabs>
          <w:tab w:val="num" w:pos="5760"/>
        </w:tabs>
        <w:ind w:left="5760" w:hanging="360"/>
      </w:pPr>
      <w:rPr>
        <w:rFonts w:ascii="Arial" w:hAnsi="Arial" w:hint="default"/>
      </w:rPr>
    </w:lvl>
    <w:lvl w:ilvl="8" w:tplc="A4EEC5C4" w:tentative="1">
      <w:start w:val="1"/>
      <w:numFmt w:val="bullet"/>
      <w:lvlText w:val="•"/>
      <w:lvlJc w:val="left"/>
      <w:pPr>
        <w:tabs>
          <w:tab w:val="num" w:pos="6480"/>
        </w:tabs>
        <w:ind w:left="6480" w:hanging="360"/>
      </w:pPr>
      <w:rPr>
        <w:rFonts w:ascii="Arial" w:hAnsi="Arial" w:hint="default"/>
      </w:rPr>
    </w:lvl>
  </w:abstractNum>
  <w:abstractNum w:abstractNumId="7">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8331C"/>
    <w:multiLevelType w:val="hybridMultilevel"/>
    <w:tmpl w:val="EB54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3960F6"/>
    <w:multiLevelType w:val="hybridMultilevel"/>
    <w:tmpl w:val="F01CE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F7B215C"/>
    <w:multiLevelType w:val="hybridMultilevel"/>
    <w:tmpl w:val="B2B8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370E43"/>
    <w:multiLevelType w:val="hybridMultilevel"/>
    <w:tmpl w:val="F6384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240B2A"/>
    <w:multiLevelType w:val="hybridMultilevel"/>
    <w:tmpl w:val="1C6016E6"/>
    <w:lvl w:ilvl="0" w:tplc="BD389470">
      <w:start w:val="1"/>
      <w:numFmt w:val="bullet"/>
      <w:lvlText w:val=""/>
      <w:lvlPicBulletId w:val="0"/>
      <w:lvlJc w:val="left"/>
      <w:pPr>
        <w:tabs>
          <w:tab w:val="num" w:pos="720"/>
        </w:tabs>
        <w:ind w:left="720" w:hanging="360"/>
      </w:pPr>
      <w:rPr>
        <w:rFonts w:ascii="Symbol" w:hAnsi="Symbol" w:hint="default"/>
      </w:rPr>
    </w:lvl>
    <w:lvl w:ilvl="1" w:tplc="361E9FB6" w:tentative="1">
      <w:start w:val="1"/>
      <w:numFmt w:val="bullet"/>
      <w:lvlText w:val=""/>
      <w:lvlJc w:val="left"/>
      <w:pPr>
        <w:tabs>
          <w:tab w:val="num" w:pos="1440"/>
        </w:tabs>
        <w:ind w:left="1440" w:hanging="360"/>
      </w:pPr>
      <w:rPr>
        <w:rFonts w:ascii="Symbol" w:hAnsi="Symbol" w:hint="default"/>
      </w:rPr>
    </w:lvl>
    <w:lvl w:ilvl="2" w:tplc="9EACB290" w:tentative="1">
      <w:start w:val="1"/>
      <w:numFmt w:val="bullet"/>
      <w:lvlText w:val=""/>
      <w:lvlJc w:val="left"/>
      <w:pPr>
        <w:tabs>
          <w:tab w:val="num" w:pos="2160"/>
        </w:tabs>
        <w:ind w:left="2160" w:hanging="360"/>
      </w:pPr>
      <w:rPr>
        <w:rFonts w:ascii="Symbol" w:hAnsi="Symbol" w:hint="default"/>
      </w:rPr>
    </w:lvl>
    <w:lvl w:ilvl="3" w:tplc="B5D8A26E" w:tentative="1">
      <w:start w:val="1"/>
      <w:numFmt w:val="bullet"/>
      <w:lvlText w:val=""/>
      <w:lvlJc w:val="left"/>
      <w:pPr>
        <w:tabs>
          <w:tab w:val="num" w:pos="2880"/>
        </w:tabs>
        <w:ind w:left="2880" w:hanging="360"/>
      </w:pPr>
      <w:rPr>
        <w:rFonts w:ascii="Symbol" w:hAnsi="Symbol" w:hint="default"/>
      </w:rPr>
    </w:lvl>
    <w:lvl w:ilvl="4" w:tplc="BFB07E1A" w:tentative="1">
      <w:start w:val="1"/>
      <w:numFmt w:val="bullet"/>
      <w:lvlText w:val=""/>
      <w:lvlJc w:val="left"/>
      <w:pPr>
        <w:tabs>
          <w:tab w:val="num" w:pos="3600"/>
        </w:tabs>
        <w:ind w:left="3600" w:hanging="360"/>
      </w:pPr>
      <w:rPr>
        <w:rFonts w:ascii="Symbol" w:hAnsi="Symbol" w:hint="default"/>
      </w:rPr>
    </w:lvl>
    <w:lvl w:ilvl="5" w:tplc="2DAEF874" w:tentative="1">
      <w:start w:val="1"/>
      <w:numFmt w:val="bullet"/>
      <w:lvlText w:val=""/>
      <w:lvlJc w:val="left"/>
      <w:pPr>
        <w:tabs>
          <w:tab w:val="num" w:pos="4320"/>
        </w:tabs>
        <w:ind w:left="4320" w:hanging="360"/>
      </w:pPr>
      <w:rPr>
        <w:rFonts w:ascii="Symbol" w:hAnsi="Symbol" w:hint="default"/>
      </w:rPr>
    </w:lvl>
    <w:lvl w:ilvl="6" w:tplc="17DCB5B6" w:tentative="1">
      <w:start w:val="1"/>
      <w:numFmt w:val="bullet"/>
      <w:lvlText w:val=""/>
      <w:lvlJc w:val="left"/>
      <w:pPr>
        <w:tabs>
          <w:tab w:val="num" w:pos="5040"/>
        </w:tabs>
        <w:ind w:left="5040" w:hanging="360"/>
      </w:pPr>
      <w:rPr>
        <w:rFonts w:ascii="Symbol" w:hAnsi="Symbol" w:hint="default"/>
      </w:rPr>
    </w:lvl>
    <w:lvl w:ilvl="7" w:tplc="888CE3C2" w:tentative="1">
      <w:start w:val="1"/>
      <w:numFmt w:val="bullet"/>
      <w:lvlText w:val=""/>
      <w:lvlJc w:val="left"/>
      <w:pPr>
        <w:tabs>
          <w:tab w:val="num" w:pos="5760"/>
        </w:tabs>
        <w:ind w:left="5760" w:hanging="360"/>
      </w:pPr>
      <w:rPr>
        <w:rFonts w:ascii="Symbol" w:hAnsi="Symbol" w:hint="default"/>
      </w:rPr>
    </w:lvl>
    <w:lvl w:ilvl="8" w:tplc="201E6918" w:tentative="1">
      <w:start w:val="1"/>
      <w:numFmt w:val="bullet"/>
      <w:lvlText w:val=""/>
      <w:lvlJc w:val="left"/>
      <w:pPr>
        <w:tabs>
          <w:tab w:val="num" w:pos="6480"/>
        </w:tabs>
        <w:ind w:left="6480" w:hanging="360"/>
      </w:pPr>
      <w:rPr>
        <w:rFonts w:ascii="Symbol" w:hAnsi="Symbol" w:hint="default"/>
      </w:rPr>
    </w:lvl>
  </w:abstractNum>
  <w:abstractNum w:abstractNumId="13">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E278C5"/>
    <w:multiLevelType w:val="hybridMultilevel"/>
    <w:tmpl w:val="C6CE77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B91DAD"/>
    <w:multiLevelType w:val="hybridMultilevel"/>
    <w:tmpl w:val="43A8E6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B7773F6"/>
    <w:multiLevelType w:val="hybridMultilevel"/>
    <w:tmpl w:val="74E4C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4B4651"/>
    <w:multiLevelType w:val="hybridMultilevel"/>
    <w:tmpl w:val="9DA4132C"/>
    <w:lvl w:ilvl="0" w:tplc="555C0E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7"/>
  </w:num>
  <w:num w:numId="4">
    <w:abstractNumId w:val="4"/>
  </w:num>
  <w:num w:numId="5">
    <w:abstractNumId w:val="18"/>
  </w:num>
  <w:num w:numId="6">
    <w:abstractNumId w:val="14"/>
  </w:num>
  <w:num w:numId="7">
    <w:abstractNumId w:val="1"/>
  </w:num>
  <w:num w:numId="8">
    <w:abstractNumId w:val="11"/>
  </w:num>
  <w:num w:numId="9">
    <w:abstractNumId w:val="5"/>
  </w:num>
  <w:num w:numId="10">
    <w:abstractNumId w:val="17"/>
  </w:num>
  <w:num w:numId="11">
    <w:abstractNumId w:val="15"/>
  </w:num>
  <w:num w:numId="12">
    <w:abstractNumId w:val="8"/>
  </w:num>
  <w:num w:numId="13">
    <w:abstractNumId w:val="16"/>
  </w:num>
  <w:num w:numId="14">
    <w:abstractNumId w:val="2"/>
  </w:num>
  <w:num w:numId="15">
    <w:abstractNumId w:val="10"/>
  </w:num>
  <w:num w:numId="16">
    <w:abstractNumId w:val="9"/>
  </w:num>
  <w:num w:numId="17">
    <w:abstractNumId w:val="3"/>
  </w:num>
  <w:num w:numId="18">
    <w:abstractNumId w:val="6"/>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day Obanor">
    <w15:presenceInfo w15:providerId="None" w15:userId="Friday Oban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41"/>
    <w:rsid w:val="00003443"/>
    <w:rsid w:val="00007399"/>
    <w:rsid w:val="0001056C"/>
    <w:rsid w:val="00014A08"/>
    <w:rsid w:val="00020020"/>
    <w:rsid w:val="00020476"/>
    <w:rsid w:val="00031DD2"/>
    <w:rsid w:val="000426BA"/>
    <w:rsid w:val="000427D3"/>
    <w:rsid w:val="00042DAC"/>
    <w:rsid w:val="00044AAF"/>
    <w:rsid w:val="00046FF4"/>
    <w:rsid w:val="00050574"/>
    <w:rsid w:val="00054E7F"/>
    <w:rsid w:val="00060C19"/>
    <w:rsid w:val="00062B84"/>
    <w:rsid w:val="000650D3"/>
    <w:rsid w:val="00070B7C"/>
    <w:rsid w:val="00070C37"/>
    <w:rsid w:val="00073215"/>
    <w:rsid w:val="000752E2"/>
    <w:rsid w:val="00080E89"/>
    <w:rsid w:val="00084ED8"/>
    <w:rsid w:val="0008625F"/>
    <w:rsid w:val="000862E4"/>
    <w:rsid w:val="00091391"/>
    <w:rsid w:val="00092842"/>
    <w:rsid w:val="00095270"/>
    <w:rsid w:val="00097468"/>
    <w:rsid w:val="000A0C79"/>
    <w:rsid w:val="000B09DC"/>
    <w:rsid w:val="000C0B9F"/>
    <w:rsid w:val="000C0FBD"/>
    <w:rsid w:val="000C2365"/>
    <w:rsid w:val="000C34AF"/>
    <w:rsid w:val="000C44BF"/>
    <w:rsid w:val="000C697F"/>
    <w:rsid w:val="000D097F"/>
    <w:rsid w:val="000D10A8"/>
    <w:rsid w:val="000D2330"/>
    <w:rsid w:val="000D40E5"/>
    <w:rsid w:val="000D43AF"/>
    <w:rsid w:val="000D74BF"/>
    <w:rsid w:val="000E16BB"/>
    <w:rsid w:val="000E1732"/>
    <w:rsid w:val="000E21E1"/>
    <w:rsid w:val="000E2EF0"/>
    <w:rsid w:val="000F4E3E"/>
    <w:rsid w:val="000F6530"/>
    <w:rsid w:val="000F676A"/>
    <w:rsid w:val="00104FE6"/>
    <w:rsid w:val="00112D5D"/>
    <w:rsid w:val="001166FA"/>
    <w:rsid w:val="00117CC0"/>
    <w:rsid w:val="00123D0F"/>
    <w:rsid w:val="00125152"/>
    <w:rsid w:val="00125C47"/>
    <w:rsid w:val="001328B9"/>
    <w:rsid w:val="00134E51"/>
    <w:rsid w:val="001352A4"/>
    <w:rsid w:val="00135755"/>
    <w:rsid w:val="001400E8"/>
    <w:rsid w:val="001406E2"/>
    <w:rsid w:val="00143F88"/>
    <w:rsid w:val="00144321"/>
    <w:rsid w:val="0015031E"/>
    <w:rsid w:val="001504E4"/>
    <w:rsid w:val="00152906"/>
    <w:rsid w:val="00156255"/>
    <w:rsid w:val="00160E32"/>
    <w:rsid w:val="001649C2"/>
    <w:rsid w:val="00164D31"/>
    <w:rsid w:val="0016502F"/>
    <w:rsid w:val="001667D2"/>
    <w:rsid w:val="0017132B"/>
    <w:rsid w:val="00171EB4"/>
    <w:rsid w:val="0018363F"/>
    <w:rsid w:val="00184F45"/>
    <w:rsid w:val="001861A1"/>
    <w:rsid w:val="00187171"/>
    <w:rsid w:val="00187E0F"/>
    <w:rsid w:val="001A1B99"/>
    <w:rsid w:val="001A1BCF"/>
    <w:rsid w:val="001A4F04"/>
    <w:rsid w:val="001A63A0"/>
    <w:rsid w:val="001A7087"/>
    <w:rsid w:val="001B2CC1"/>
    <w:rsid w:val="001B2D47"/>
    <w:rsid w:val="001B6B2E"/>
    <w:rsid w:val="001B7074"/>
    <w:rsid w:val="001C3698"/>
    <w:rsid w:val="001E0954"/>
    <w:rsid w:val="001E5445"/>
    <w:rsid w:val="001F0D89"/>
    <w:rsid w:val="001F3FE7"/>
    <w:rsid w:val="001F6493"/>
    <w:rsid w:val="001F64F7"/>
    <w:rsid w:val="00200AC8"/>
    <w:rsid w:val="00210EFA"/>
    <w:rsid w:val="00214EC2"/>
    <w:rsid w:val="00216868"/>
    <w:rsid w:val="002169CF"/>
    <w:rsid w:val="00217614"/>
    <w:rsid w:val="00220C06"/>
    <w:rsid w:val="00220F78"/>
    <w:rsid w:val="002221A3"/>
    <w:rsid w:val="00223D64"/>
    <w:rsid w:val="002321F1"/>
    <w:rsid w:val="00234FBD"/>
    <w:rsid w:val="0023571C"/>
    <w:rsid w:val="00235C12"/>
    <w:rsid w:val="00240386"/>
    <w:rsid w:val="00240FFF"/>
    <w:rsid w:val="002465A4"/>
    <w:rsid w:val="00247C30"/>
    <w:rsid w:val="0025563E"/>
    <w:rsid w:val="00257DB9"/>
    <w:rsid w:val="0026034E"/>
    <w:rsid w:val="00260EAF"/>
    <w:rsid w:val="0026659C"/>
    <w:rsid w:val="002714D8"/>
    <w:rsid w:val="00273B23"/>
    <w:rsid w:val="00274D95"/>
    <w:rsid w:val="002752AB"/>
    <w:rsid w:val="0029530A"/>
    <w:rsid w:val="00295C67"/>
    <w:rsid w:val="002962F7"/>
    <w:rsid w:val="002968C1"/>
    <w:rsid w:val="00297596"/>
    <w:rsid w:val="002A1303"/>
    <w:rsid w:val="002A1C82"/>
    <w:rsid w:val="002A29B4"/>
    <w:rsid w:val="002A2DBC"/>
    <w:rsid w:val="002A3E0E"/>
    <w:rsid w:val="002A4F1C"/>
    <w:rsid w:val="002A6361"/>
    <w:rsid w:val="002B26A9"/>
    <w:rsid w:val="002C19C4"/>
    <w:rsid w:val="002C40A3"/>
    <w:rsid w:val="002D406F"/>
    <w:rsid w:val="002E1094"/>
    <w:rsid w:val="002E44E8"/>
    <w:rsid w:val="002E69F6"/>
    <w:rsid w:val="002E6C55"/>
    <w:rsid w:val="002E7C14"/>
    <w:rsid w:val="002F5260"/>
    <w:rsid w:val="002F73E8"/>
    <w:rsid w:val="003002B2"/>
    <w:rsid w:val="00300D9F"/>
    <w:rsid w:val="00306073"/>
    <w:rsid w:val="0030665B"/>
    <w:rsid w:val="00320093"/>
    <w:rsid w:val="003259EB"/>
    <w:rsid w:val="00326034"/>
    <w:rsid w:val="00332C7F"/>
    <w:rsid w:val="0033395D"/>
    <w:rsid w:val="003351B7"/>
    <w:rsid w:val="00337B8D"/>
    <w:rsid w:val="003467D5"/>
    <w:rsid w:val="00353E1E"/>
    <w:rsid w:val="003564F1"/>
    <w:rsid w:val="00357E03"/>
    <w:rsid w:val="00360B59"/>
    <w:rsid w:val="003648CD"/>
    <w:rsid w:val="00366680"/>
    <w:rsid w:val="00371239"/>
    <w:rsid w:val="003812AB"/>
    <w:rsid w:val="003814B2"/>
    <w:rsid w:val="00382492"/>
    <w:rsid w:val="00382B5F"/>
    <w:rsid w:val="003842E7"/>
    <w:rsid w:val="00390717"/>
    <w:rsid w:val="00390A9B"/>
    <w:rsid w:val="00391581"/>
    <w:rsid w:val="003921EF"/>
    <w:rsid w:val="00392B47"/>
    <w:rsid w:val="00397CE7"/>
    <w:rsid w:val="003A327A"/>
    <w:rsid w:val="003A794F"/>
    <w:rsid w:val="003B08D9"/>
    <w:rsid w:val="003B568D"/>
    <w:rsid w:val="003B6DA6"/>
    <w:rsid w:val="003C1436"/>
    <w:rsid w:val="003C1766"/>
    <w:rsid w:val="003C25E4"/>
    <w:rsid w:val="003C55BD"/>
    <w:rsid w:val="003D2721"/>
    <w:rsid w:val="003D5492"/>
    <w:rsid w:val="003D7050"/>
    <w:rsid w:val="003D76BE"/>
    <w:rsid w:val="003E1C52"/>
    <w:rsid w:val="003E56B9"/>
    <w:rsid w:val="003E6D0C"/>
    <w:rsid w:val="003F0604"/>
    <w:rsid w:val="003F0CF0"/>
    <w:rsid w:val="003F268E"/>
    <w:rsid w:val="003F288C"/>
    <w:rsid w:val="003F75A7"/>
    <w:rsid w:val="00402ECE"/>
    <w:rsid w:val="00406466"/>
    <w:rsid w:val="004104BD"/>
    <w:rsid w:val="00411620"/>
    <w:rsid w:val="00411691"/>
    <w:rsid w:val="0041316D"/>
    <w:rsid w:val="0041590A"/>
    <w:rsid w:val="0041613D"/>
    <w:rsid w:val="00417DBE"/>
    <w:rsid w:val="004208F0"/>
    <w:rsid w:val="00421212"/>
    <w:rsid w:val="0042325E"/>
    <w:rsid w:val="00424562"/>
    <w:rsid w:val="00425119"/>
    <w:rsid w:val="0042650B"/>
    <w:rsid w:val="00431C53"/>
    <w:rsid w:val="00432B5C"/>
    <w:rsid w:val="00441E3C"/>
    <w:rsid w:val="004434EF"/>
    <w:rsid w:val="004435C8"/>
    <w:rsid w:val="0044664E"/>
    <w:rsid w:val="00452B77"/>
    <w:rsid w:val="00453182"/>
    <w:rsid w:val="00457538"/>
    <w:rsid w:val="004602AD"/>
    <w:rsid w:val="0046691C"/>
    <w:rsid w:val="00471FBA"/>
    <w:rsid w:val="00473429"/>
    <w:rsid w:val="00473657"/>
    <w:rsid w:val="00474400"/>
    <w:rsid w:val="00477560"/>
    <w:rsid w:val="00482B15"/>
    <w:rsid w:val="004846AA"/>
    <w:rsid w:val="00485B2A"/>
    <w:rsid w:val="00485BF3"/>
    <w:rsid w:val="00487997"/>
    <w:rsid w:val="00495D0A"/>
    <w:rsid w:val="00497440"/>
    <w:rsid w:val="0049796C"/>
    <w:rsid w:val="004A2DFD"/>
    <w:rsid w:val="004A5F9A"/>
    <w:rsid w:val="004B47FB"/>
    <w:rsid w:val="004B6B78"/>
    <w:rsid w:val="004C1006"/>
    <w:rsid w:val="004C5A01"/>
    <w:rsid w:val="004C6D11"/>
    <w:rsid w:val="004D1138"/>
    <w:rsid w:val="004D153E"/>
    <w:rsid w:val="004D18B9"/>
    <w:rsid w:val="004D3B83"/>
    <w:rsid w:val="004D5328"/>
    <w:rsid w:val="004D5C1D"/>
    <w:rsid w:val="004D61F3"/>
    <w:rsid w:val="004D626F"/>
    <w:rsid w:val="004E423B"/>
    <w:rsid w:val="004F02DC"/>
    <w:rsid w:val="004F0C79"/>
    <w:rsid w:val="004F3444"/>
    <w:rsid w:val="004F4C0B"/>
    <w:rsid w:val="004F753A"/>
    <w:rsid w:val="004F7B8D"/>
    <w:rsid w:val="00500B59"/>
    <w:rsid w:val="00501D6F"/>
    <w:rsid w:val="0050267A"/>
    <w:rsid w:val="00507EA9"/>
    <w:rsid w:val="00511EDE"/>
    <w:rsid w:val="00512979"/>
    <w:rsid w:val="00512EA1"/>
    <w:rsid w:val="005218EB"/>
    <w:rsid w:val="00521F63"/>
    <w:rsid w:val="005224EE"/>
    <w:rsid w:val="005228FE"/>
    <w:rsid w:val="00523D8A"/>
    <w:rsid w:val="00527A50"/>
    <w:rsid w:val="00530BF6"/>
    <w:rsid w:val="00533F7B"/>
    <w:rsid w:val="00543A93"/>
    <w:rsid w:val="00544206"/>
    <w:rsid w:val="00545B2E"/>
    <w:rsid w:val="00545C40"/>
    <w:rsid w:val="00554627"/>
    <w:rsid w:val="00554DF9"/>
    <w:rsid w:val="00556A62"/>
    <w:rsid w:val="00560D5F"/>
    <w:rsid w:val="005665BC"/>
    <w:rsid w:val="00573014"/>
    <w:rsid w:val="00573EB4"/>
    <w:rsid w:val="00574B21"/>
    <w:rsid w:val="0057626A"/>
    <w:rsid w:val="00576276"/>
    <w:rsid w:val="00576829"/>
    <w:rsid w:val="00584BA4"/>
    <w:rsid w:val="00590706"/>
    <w:rsid w:val="005916B9"/>
    <w:rsid w:val="00592C65"/>
    <w:rsid w:val="00593697"/>
    <w:rsid w:val="00593B9B"/>
    <w:rsid w:val="00593FD0"/>
    <w:rsid w:val="00596D95"/>
    <w:rsid w:val="005A02C4"/>
    <w:rsid w:val="005B0200"/>
    <w:rsid w:val="005B1514"/>
    <w:rsid w:val="005B444E"/>
    <w:rsid w:val="005B5A77"/>
    <w:rsid w:val="005B7DD6"/>
    <w:rsid w:val="005C0B9A"/>
    <w:rsid w:val="005C1890"/>
    <w:rsid w:val="005C2711"/>
    <w:rsid w:val="005C5511"/>
    <w:rsid w:val="005C5F3B"/>
    <w:rsid w:val="005C688E"/>
    <w:rsid w:val="005D0257"/>
    <w:rsid w:val="005D02C5"/>
    <w:rsid w:val="005D08BF"/>
    <w:rsid w:val="005D11D2"/>
    <w:rsid w:val="005D311D"/>
    <w:rsid w:val="005D349F"/>
    <w:rsid w:val="005D442B"/>
    <w:rsid w:val="005D7136"/>
    <w:rsid w:val="005E146C"/>
    <w:rsid w:val="005E4DDE"/>
    <w:rsid w:val="005F0357"/>
    <w:rsid w:val="005F0C06"/>
    <w:rsid w:val="005F61EE"/>
    <w:rsid w:val="005F6617"/>
    <w:rsid w:val="00600C8C"/>
    <w:rsid w:val="006033F3"/>
    <w:rsid w:val="00604C77"/>
    <w:rsid w:val="00615C72"/>
    <w:rsid w:val="00616DBA"/>
    <w:rsid w:val="006170D1"/>
    <w:rsid w:val="00621E93"/>
    <w:rsid w:val="00622B88"/>
    <w:rsid w:val="00623CFE"/>
    <w:rsid w:val="006263E6"/>
    <w:rsid w:val="0063106A"/>
    <w:rsid w:val="00631318"/>
    <w:rsid w:val="00632CEE"/>
    <w:rsid w:val="00641145"/>
    <w:rsid w:val="00642BCB"/>
    <w:rsid w:val="00644B9E"/>
    <w:rsid w:val="00647BA9"/>
    <w:rsid w:val="00650031"/>
    <w:rsid w:val="006528D8"/>
    <w:rsid w:val="00654B47"/>
    <w:rsid w:val="00663CAC"/>
    <w:rsid w:val="0066495E"/>
    <w:rsid w:val="00664C05"/>
    <w:rsid w:val="00675529"/>
    <w:rsid w:val="00675BF7"/>
    <w:rsid w:val="00676791"/>
    <w:rsid w:val="00682727"/>
    <w:rsid w:val="006858DF"/>
    <w:rsid w:val="0068703A"/>
    <w:rsid w:val="00690F60"/>
    <w:rsid w:val="006927C9"/>
    <w:rsid w:val="006A15B8"/>
    <w:rsid w:val="006A2427"/>
    <w:rsid w:val="006A4722"/>
    <w:rsid w:val="006A4A0B"/>
    <w:rsid w:val="006A6E89"/>
    <w:rsid w:val="006B28A1"/>
    <w:rsid w:val="006B38D6"/>
    <w:rsid w:val="006B6CCD"/>
    <w:rsid w:val="006C00CC"/>
    <w:rsid w:val="006C1846"/>
    <w:rsid w:val="006D06A6"/>
    <w:rsid w:val="006D4FA8"/>
    <w:rsid w:val="006D4FF4"/>
    <w:rsid w:val="006D715F"/>
    <w:rsid w:val="006E1E92"/>
    <w:rsid w:val="006E2FC7"/>
    <w:rsid w:val="006E6DE0"/>
    <w:rsid w:val="00700F03"/>
    <w:rsid w:val="00702C01"/>
    <w:rsid w:val="00704E03"/>
    <w:rsid w:val="007050CA"/>
    <w:rsid w:val="00705CFB"/>
    <w:rsid w:val="00706781"/>
    <w:rsid w:val="007120B7"/>
    <w:rsid w:val="007143D6"/>
    <w:rsid w:val="00715DB0"/>
    <w:rsid w:val="00715F0B"/>
    <w:rsid w:val="00722A96"/>
    <w:rsid w:val="00727F89"/>
    <w:rsid w:val="00730156"/>
    <w:rsid w:val="00740689"/>
    <w:rsid w:val="00741F31"/>
    <w:rsid w:val="00742888"/>
    <w:rsid w:val="00743102"/>
    <w:rsid w:val="00751191"/>
    <w:rsid w:val="00753D03"/>
    <w:rsid w:val="00755AC5"/>
    <w:rsid w:val="00757BF6"/>
    <w:rsid w:val="00757FA2"/>
    <w:rsid w:val="00761627"/>
    <w:rsid w:val="007627D3"/>
    <w:rsid w:val="00762B4E"/>
    <w:rsid w:val="00763CC9"/>
    <w:rsid w:val="007666AA"/>
    <w:rsid w:val="007667CC"/>
    <w:rsid w:val="00766C8D"/>
    <w:rsid w:val="0077044E"/>
    <w:rsid w:val="00776BE8"/>
    <w:rsid w:val="00777002"/>
    <w:rsid w:val="00782E90"/>
    <w:rsid w:val="0078413E"/>
    <w:rsid w:val="00785A6E"/>
    <w:rsid w:val="00787B7E"/>
    <w:rsid w:val="00797FB4"/>
    <w:rsid w:val="007A0153"/>
    <w:rsid w:val="007A0E21"/>
    <w:rsid w:val="007A3F1F"/>
    <w:rsid w:val="007A449D"/>
    <w:rsid w:val="007A6B63"/>
    <w:rsid w:val="007B136D"/>
    <w:rsid w:val="007B6648"/>
    <w:rsid w:val="007C2F54"/>
    <w:rsid w:val="007C49F0"/>
    <w:rsid w:val="007C75C1"/>
    <w:rsid w:val="007D05EC"/>
    <w:rsid w:val="007D06D2"/>
    <w:rsid w:val="007D4ACF"/>
    <w:rsid w:val="007E1B20"/>
    <w:rsid w:val="007E3DA7"/>
    <w:rsid w:val="007E68C6"/>
    <w:rsid w:val="007F1803"/>
    <w:rsid w:val="007F4BE8"/>
    <w:rsid w:val="007F4F3B"/>
    <w:rsid w:val="007F556D"/>
    <w:rsid w:val="007F612F"/>
    <w:rsid w:val="00803B18"/>
    <w:rsid w:val="008133D7"/>
    <w:rsid w:val="00813DDB"/>
    <w:rsid w:val="008146F4"/>
    <w:rsid w:val="00820A34"/>
    <w:rsid w:val="00825131"/>
    <w:rsid w:val="0083047B"/>
    <w:rsid w:val="00831AFB"/>
    <w:rsid w:val="0083227C"/>
    <w:rsid w:val="00832839"/>
    <w:rsid w:val="008361A2"/>
    <w:rsid w:val="00840813"/>
    <w:rsid w:val="00842219"/>
    <w:rsid w:val="008434DE"/>
    <w:rsid w:val="0084514F"/>
    <w:rsid w:val="0084577C"/>
    <w:rsid w:val="00852B0C"/>
    <w:rsid w:val="00854C81"/>
    <w:rsid w:val="00854E66"/>
    <w:rsid w:val="00855673"/>
    <w:rsid w:val="00855DB8"/>
    <w:rsid w:val="0085759E"/>
    <w:rsid w:val="008575DE"/>
    <w:rsid w:val="008629D0"/>
    <w:rsid w:val="008634FB"/>
    <w:rsid w:val="00866885"/>
    <w:rsid w:val="008821B0"/>
    <w:rsid w:val="0088601E"/>
    <w:rsid w:val="00893DCC"/>
    <w:rsid w:val="00894B11"/>
    <w:rsid w:val="0089667A"/>
    <w:rsid w:val="00897B1A"/>
    <w:rsid w:val="008A3AEE"/>
    <w:rsid w:val="008A4DE8"/>
    <w:rsid w:val="008A7E99"/>
    <w:rsid w:val="008B3C34"/>
    <w:rsid w:val="008B4736"/>
    <w:rsid w:val="008C3A51"/>
    <w:rsid w:val="008C6588"/>
    <w:rsid w:val="008D141B"/>
    <w:rsid w:val="008D2909"/>
    <w:rsid w:val="008D322A"/>
    <w:rsid w:val="008D674D"/>
    <w:rsid w:val="008E3D0C"/>
    <w:rsid w:val="008E421C"/>
    <w:rsid w:val="008E4543"/>
    <w:rsid w:val="008E5BBC"/>
    <w:rsid w:val="008E5E39"/>
    <w:rsid w:val="008E6869"/>
    <w:rsid w:val="008E6A7B"/>
    <w:rsid w:val="008F2638"/>
    <w:rsid w:val="008F4D5E"/>
    <w:rsid w:val="008F6926"/>
    <w:rsid w:val="00906EAB"/>
    <w:rsid w:val="00910806"/>
    <w:rsid w:val="009138EC"/>
    <w:rsid w:val="00917755"/>
    <w:rsid w:val="0093103B"/>
    <w:rsid w:val="009350D7"/>
    <w:rsid w:val="00935569"/>
    <w:rsid w:val="00940AB9"/>
    <w:rsid w:val="00943CBB"/>
    <w:rsid w:val="009640DD"/>
    <w:rsid w:val="00964A59"/>
    <w:rsid w:val="00964E54"/>
    <w:rsid w:val="009677B7"/>
    <w:rsid w:val="00974C3C"/>
    <w:rsid w:val="00984C10"/>
    <w:rsid w:val="00986371"/>
    <w:rsid w:val="00987182"/>
    <w:rsid w:val="00992D73"/>
    <w:rsid w:val="009938E2"/>
    <w:rsid w:val="009956BD"/>
    <w:rsid w:val="00995C3D"/>
    <w:rsid w:val="009A0BF5"/>
    <w:rsid w:val="009A1740"/>
    <w:rsid w:val="009B0698"/>
    <w:rsid w:val="009B0793"/>
    <w:rsid w:val="009C0FE3"/>
    <w:rsid w:val="009C1048"/>
    <w:rsid w:val="009C5264"/>
    <w:rsid w:val="009D4F6A"/>
    <w:rsid w:val="009D6F54"/>
    <w:rsid w:val="009E0AB3"/>
    <w:rsid w:val="009E0DCA"/>
    <w:rsid w:val="009E2614"/>
    <w:rsid w:val="009E549E"/>
    <w:rsid w:val="009E6459"/>
    <w:rsid w:val="009E661E"/>
    <w:rsid w:val="009F0D09"/>
    <w:rsid w:val="009F23DA"/>
    <w:rsid w:val="009F6159"/>
    <w:rsid w:val="009F70B9"/>
    <w:rsid w:val="009F7C72"/>
    <w:rsid w:val="00A00C87"/>
    <w:rsid w:val="00A02D96"/>
    <w:rsid w:val="00A0469F"/>
    <w:rsid w:val="00A1527C"/>
    <w:rsid w:val="00A272CB"/>
    <w:rsid w:val="00A27DBE"/>
    <w:rsid w:val="00A30CEB"/>
    <w:rsid w:val="00A32033"/>
    <w:rsid w:val="00A32129"/>
    <w:rsid w:val="00A3750E"/>
    <w:rsid w:val="00A424DC"/>
    <w:rsid w:val="00A470B1"/>
    <w:rsid w:val="00A52296"/>
    <w:rsid w:val="00A526DB"/>
    <w:rsid w:val="00A52835"/>
    <w:rsid w:val="00A61702"/>
    <w:rsid w:val="00A665FD"/>
    <w:rsid w:val="00A677A8"/>
    <w:rsid w:val="00A715A4"/>
    <w:rsid w:val="00A8002B"/>
    <w:rsid w:val="00A81CC8"/>
    <w:rsid w:val="00A838D3"/>
    <w:rsid w:val="00A87737"/>
    <w:rsid w:val="00A942B6"/>
    <w:rsid w:val="00AA1FDF"/>
    <w:rsid w:val="00AA31BE"/>
    <w:rsid w:val="00AA338C"/>
    <w:rsid w:val="00AA5F16"/>
    <w:rsid w:val="00AA710C"/>
    <w:rsid w:val="00AA7772"/>
    <w:rsid w:val="00AB002A"/>
    <w:rsid w:val="00AB0CD7"/>
    <w:rsid w:val="00AB1E18"/>
    <w:rsid w:val="00AB273D"/>
    <w:rsid w:val="00AB2D37"/>
    <w:rsid w:val="00AC27C9"/>
    <w:rsid w:val="00AC35C3"/>
    <w:rsid w:val="00AC46DB"/>
    <w:rsid w:val="00AC4A37"/>
    <w:rsid w:val="00AC67F4"/>
    <w:rsid w:val="00AD106A"/>
    <w:rsid w:val="00AD1B3C"/>
    <w:rsid w:val="00AD5A25"/>
    <w:rsid w:val="00AE07A3"/>
    <w:rsid w:val="00AE0992"/>
    <w:rsid w:val="00AE10F8"/>
    <w:rsid w:val="00AE1AA6"/>
    <w:rsid w:val="00AE345C"/>
    <w:rsid w:val="00AE4766"/>
    <w:rsid w:val="00AE4C50"/>
    <w:rsid w:val="00AF0BAD"/>
    <w:rsid w:val="00AF17CF"/>
    <w:rsid w:val="00AF2E77"/>
    <w:rsid w:val="00AF3C16"/>
    <w:rsid w:val="00AF628F"/>
    <w:rsid w:val="00AF7DDF"/>
    <w:rsid w:val="00B027FE"/>
    <w:rsid w:val="00B0292A"/>
    <w:rsid w:val="00B02FD6"/>
    <w:rsid w:val="00B05023"/>
    <w:rsid w:val="00B05884"/>
    <w:rsid w:val="00B14B24"/>
    <w:rsid w:val="00B16469"/>
    <w:rsid w:val="00B20031"/>
    <w:rsid w:val="00B25D07"/>
    <w:rsid w:val="00B278B6"/>
    <w:rsid w:val="00B311BE"/>
    <w:rsid w:val="00B3269C"/>
    <w:rsid w:val="00B36C3D"/>
    <w:rsid w:val="00B434BE"/>
    <w:rsid w:val="00B436FE"/>
    <w:rsid w:val="00B51CED"/>
    <w:rsid w:val="00B53BB3"/>
    <w:rsid w:val="00B541C7"/>
    <w:rsid w:val="00B570E4"/>
    <w:rsid w:val="00B5792A"/>
    <w:rsid w:val="00B61F65"/>
    <w:rsid w:val="00B716D8"/>
    <w:rsid w:val="00B72DDE"/>
    <w:rsid w:val="00B73ECF"/>
    <w:rsid w:val="00B75E63"/>
    <w:rsid w:val="00B81C43"/>
    <w:rsid w:val="00B82381"/>
    <w:rsid w:val="00B861A9"/>
    <w:rsid w:val="00B90E95"/>
    <w:rsid w:val="00B912F4"/>
    <w:rsid w:val="00B93506"/>
    <w:rsid w:val="00B93C29"/>
    <w:rsid w:val="00B94EEC"/>
    <w:rsid w:val="00BA3627"/>
    <w:rsid w:val="00BA5608"/>
    <w:rsid w:val="00BB3EC7"/>
    <w:rsid w:val="00BC3BED"/>
    <w:rsid w:val="00BC41C6"/>
    <w:rsid w:val="00BC5EB4"/>
    <w:rsid w:val="00BC6175"/>
    <w:rsid w:val="00BC7E5B"/>
    <w:rsid w:val="00BD08C5"/>
    <w:rsid w:val="00BD4A0C"/>
    <w:rsid w:val="00BD4C17"/>
    <w:rsid w:val="00BD7392"/>
    <w:rsid w:val="00BE58C6"/>
    <w:rsid w:val="00BE634D"/>
    <w:rsid w:val="00BE6CD4"/>
    <w:rsid w:val="00BF11F0"/>
    <w:rsid w:val="00BF1FA7"/>
    <w:rsid w:val="00BF3459"/>
    <w:rsid w:val="00BF405B"/>
    <w:rsid w:val="00BF752E"/>
    <w:rsid w:val="00C02291"/>
    <w:rsid w:val="00C027DA"/>
    <w:rsid w:val="00C0543C"/>
    <w:rsid w:val="00C05F66"/>
    <w:rsid w:val="00C06C16"/>
    <w:rsid w:val="00C12D17"/>
    <w:rsid w:val="00C13E6C"/>
    <w:rsid w:val="00C17A0E"/>
    <w:rsid w:val="00C25CF3"/>
    <w:rsid w:val="00C27828"/>
    <w:rsid w:val="00C3110E"/>
    <w:rsid w:val="00C3192E"/>
    <w:rsid w:val="00C32B12"/>
    <w:rsid w:val="00C361F9"/>
    <w:rsid w:val="00C50B87"/>
    <w:rsid w:val="00C51CEF"/>
    <w:rsid w:val="00C56353"/>
    <w:rsid w:val="00C57121"/>
    <w:rsid w:val="00C6043D"/>
    <w:rsid w:val="00C61FAA"/>
    <w:rsid w:val="00C630A5"/>
    <w:rsid w:val="00C650C1"/>
    <w:rsid w:val="00C67E4E"/>
    <w:rsid w:val="00C71063"/>
    <w:rsid w:val="00C738F0"/>
    <w:rsid w:val="00C77D78"/>
    <w:rsid w:val="00C80669"/>
    <w:rsid w:val="00C8389A"/>
    <w:rsid w:val="00C83A61"/>
    <w:rsid w:val="00C934B7"/>
    <w:rsid w:val="00C93989"/>
    <w:rsid w:val="00CA12D4"/>
    <w:rsid w:val="00CA1567"/>
    <w:rsid w:val="00CA6BDA"/>
    <w:rsid w:val="00CB0899"/>
    <w:rsid w:val="00CB2F5B"/>
    <w:rsid w:val="00CC0D3F"/>
    <w:rsid w:val="00CD3742"/>
    <w:rsid w:val="00CD3E95"/>
    <w:rsid w:val="00CD52C2"/>
    <w:rsid w:val="00CD699F"/>
    <w:rsid w:val="00CE24CD"/>
    <w:rsid w:val="00CE2C45"/>
    <w:rsid w:val="00CE3C00"/>
    <w:rsid w:val="00CE3E17"/>
    <w:rsid w:val="00CE3E86"/>
    <w:rsid w:val="00CE770E"/>
    <w:rsid w:val="00CF4691"/>
    <w:rsid w:val="00CF4873"/>
    <w:rsid w:val="00CF5054"/>
    <w:rsid w:val="00CF5056"/>
    <w:rsid w:val="00CF7397"/>
    <w:rsid w:val="00D0184E"/>
    <w:rsid w:val="00D01FAA"/>
    <w:rsid w:val="00D03351"/>
    <w:rsid w:val="00D0433D"/>
    <w:rsid w:val="00D0493C"/>
    <w:rsid w:val="00D04F6F"/>
    <w:rsid w:val="00D0782D"/>
    <w:rsid w:val="00D107E7"/>
    <w:rsid w:val="00D15153"/>
    <w:rsid w:val="00D21978"/>
    <w:rsid w:val="00D250BF"/>
    <w:rsid w:val="00D278B0"/>
    <w:rsid w:val="00D27AA7"/>
    <w:rsid w:val="00D30796"/>
    <w:rsid w:val="00D323AF"/>
    <w:rsid w:val="00D37FA5"/>
    <w:rsid w:val="00D427F7"/>
    <w:rsid w:val="00D444D9"/>
    <w:rsid w:val="00D45869"/>
    <w:rsid w:val="00D460D1"/>
    <w:rsid w:val="00D4711D"/>
    <w:rsid w:val="00D526E7"/>
    <w:rsid w:val="00D60BB9"/>
    <w:rsid w:val="00D61625"/>
    <w:rsid w:val="00D63C5E"/>
    <w:rsid w:val="00D64227"/>
    <w:rsid w:val="00D74500"/>
    <w:rsid w:val="00D766E1"/>
    <w:rsid w:val="00D7685E"/>
    <w:rsid w:val="00D76C8B"/>
    <w:rsid w:val="00D81A3B"/>
    <w:rsid w:val="00D81D47"/>
    <w:rsid w:val="00D82ED9"/>
    <w:rsid w:val="00D82FF7"/>
    <w:rsid w:val="00D83448"/>
    <w:rsid w:val="00D87367"/>
    <w:rsid w:val="00D874B2"/>
    <w:rsid w:val="00D874F8"/>
    <w:rsid w:val="00D9119F"/>
    <w:rsid w:val="00D93D4E"/>
    <w:rsid w:val="00D943A8"/>
    <w:rsid w:val="00D94742"/>
    <w:rsid w:val="00DA05C2"/>
    <w:rsid w:val="00DA29D1"/>
    <w:rsid w:val="00DA4AB1"/>
    <w:rsid w:val="00DA73AF"/>
    <w:rsid w:val="00DB268D"/>
    <w:rsid w:val="00DB3A07"/>
    <w:rsid w:val="00DB755B"/>
    <w:rsid w:val="00DC087F"/>
    <w:rsid w:val="00DC0F08"/>
    <w:rsid w:val="00DD0327"/>
    <w:rsid w:val="00DD1C77"/>
    <w:rsid w:val="00DD3E34"/>
    <w:rsid w:val="00DD5BA9"/>
    <w:rsid w:val="00DD627C"/>
    <w:rsid w:val="00DE6705"/>
    <w:rsid w:val="00DF1C91"/>
    <w:rsid w:val="00DF323E"/>
    <w:rsid w:val="00DF3352"/>
    <w:rsid w:val="00DF46E1"/>
    <w:rsid w:val="00DF5688"/>
    <w:rsid w:val="00E0127C"/>
    <w:rsid w:val="00E02C93"/>
    <w:rsid w:val="00E034DD"/>
    <w:rsid w:val="00E04075"/>
    <w:rsid w:val="00E047D5"/>
    <w:rsid w:val="00E05B52"/>
    <w:rsid w:val="00E103A3"/>
    <w:rsid w:val="00E103AB"/>
    <w:rsid w:val="00E12141"/>
    <w:rsid w:val="00E141E6"/>
    <w:rsid w:val="00E17722"/>
    <w:rsid w:val="00E22F3F"/>
    <w:rsid w:val="00E235FB"/>
    <w:rsid w:val="00E25357"/>
    <w:rsid w:val="00E30CF9"/>
    <w:rsid w:val="00E31B75"/>
    <w:rsid w:val="00E32751"/>
    <w:rsid w:val="00E33B2C"/>
    <w:rsid w:val="00E35E1F"/>
    <w:rsid w:val="00E40494"/>
    <w:rsid w:val="00E4059E"/>
    <w:rsid w:val="00E407BD"/>
    <w:rsid w:val="00E409B9"/>
    <w:rsid w:val="00E46B52"/>
    <w:rsid w:val="00E50579"/>
    <w:rsid w:val="00E52E74"/>
    <w:rsid w:val="00E54CDE"/>
    <w:rsid w:val="00E5545B"/>
    <w:rsid w:val="00E63625"/>
    <w:rsid w:val="00E63968"/>
    <w:rsid w:val="00E659E3"/>
    <w:rsid w:val="00E66EE5"/>
    <w:rsid w:val="00E706C5"/>
    <w:rsid w:val="00E727B2"/>
    <w:rsid w:val="00E760DD"/>
    <w:rsid w:val="00E82EDD"/>
    <w:rsid w:val="00E84A95"/>
    <w:rsid w:val="00E8574B"/>
    <w:rsid w:val="00E87853"/>
    <w:rsid w:val="00E912E7"/>
    <w:rsid w:val="00E91443"/>
    <w:rsid w:val="00E92C87"/>
    <w:rsid w:val="00E93086"/>
    <w:rsid w:val="00EA00AA"/>
    <w:rsid w:val="00EA1A6E"/>
    <w:rsid w:val="00EA2583"/>
    <w:rsid w:val="00EA2689"/>
    <w:rsid w:val="00EA7A56"/>
    <w:rsid w:val="00EB00B5"/>
    <w:rsid w:val="00EB04E5"/>
    <w:rsid w:val="00EB1D56"/>
    <w:rsid w:val="00EB2D4E"/>
    <w:rsid w:val="00EB2D54"/>
    <w:rsid w:val="00EB6143"/>
    <w:rsid w:val="00EB69F7"/>
    <w:rsid w:val="00EC1FA7"/>
    <w:rsid w:val="00EC55D2"/>
    <w:rsid w:val="00EC7D6F"/>
    <w:rsid w:val="00ED1F9C"/>
    <w:rsid w:val="00EE22B5"/>
    <w:rsid w:val="00EE3A54"/>
    <w:rsid w:val="00EF026F"/>
    <w:rsid w:val="00EF634F"/>
    <w:rsid w:val="00F03230"/>
    <w:rsid w:val="00F06123"/>
    <w:rsid w:val="00F06153"/>
    <w:rsid w:val="00F06781"/>
    <w:rsid w:val="00F119B6"/>
    <w:rsid w:val="00F22228"/>
    <w:rsid w:val="00F23768"/>
    <w:rsid w:val="00F244AC"/>
    <w:rsid w:val="00F24D3C"/>
    <w:rsid w:val="00F250CE"/>
    <w:rsid w:val="00F25EFD"/>
    <w:rsid w:val="00F31141"/>
    <w:rsid w:val="00F35540"/>
    <w:rsid w:val="00F410E9"/>
    <w:rsid w:val="00F4313B"/>
    <w:rsid w:val="00F43264"/>
    <w:rsid w:val="00F44616"/>
    <w:rsid w:val="00F4607B"/>
    <w:rsid w:val="00F47847"/>
    <w:rsid w:val="00F60FE5"/>
    <w:rsid w:val="00F63AE6"/>
    <w:rsid w:val="00F64372"/>
    <w:rsid w:val="00F65398"/>
    <w:rsid w:val="00F67A27"/>
    <w:rsid w:val="00F708B3"/>
    <w:rsid w:val="00F736CB"/>
    <w:rsid w:val="00F73739"/>
    <w:rsid w:val="00F74551"/>
    <w:rsid w:val="00F81B60"/>
    <w:rsid w:val="00F8219A"/>
    <w:rsid w:val="00F91E00"/>
    <w:rsid w:val="00F93D6A"/>
    <w:rsid w:val="00F95A2A"/>
    <w:rsid w:val="00FA0B09"/>
    <w:rsid w:val="00FA1A7D"/>
    <w:rsid w:val="00FA1AC7"/>
    <w:rsid w:val="00FA4196"/>
    <w:rsid w:val="00FB1BD8"/>
    <w:rsid w:val="00FB2115"/>
    <w:rsid w:val="00FB6172"/>
    <w:rsid w:val="00FC3AC2"/>
    <w:rsid w:val="00FC5C57"/>
    <w:rsid w:val="00FC5F2A"/>
    <w:rsid w:val="00FC667B"/>
    <w:rsid w:val="00FC6F73"/>
    <w:rsid w:val="00FD092D"/>
    <w:rsid w:val="00FD28A9"/>
    <w:rsid w:val="00FD5603"/>
    <w:rsid w:val="00FD6757"/>
    <w:rsid w:val="00FE1789"/>
    <w:rsid w:val="00FE181F"/>
    <w:rsid w:val="00FE2D36"/>
    <w:rsid w:val="00FE3CD3"/>
    <w:rsid w:val="00FE5C49"/>
    <w:rsid w:val="00FE6D4F"/>
    <w:rsid w:val="00FF0144"/>
    <w:rsid w:val="00FF165C"/>
    <w:rsid w:val="00FF6180"/>
    <w:rsid w:val="00FF68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1A"/>
    <w:pPr>
      <w:spacing w:after="120"/>
    </w:pPr>
    <w:rPr>
      <w:rFonts w:ascii="Arial" w:hAnsi="Arial"/>
      <w:color w:val="404040" w:themeColor="text1" w:themeTint="BF"/>
      <w:sz w:val="20"/>
    </w:rPr>
  </w:style>
  <w:style w:type="paragraph" w:styleId="Heading1">
    <w:name w:val="heading 1"/>
    <w:basedOn w:val="Normal"/>
    <w:next w:val="Normal"/>
    <w:link w:val="Heading1Char"/>
    <w:qFormat/>
    <w:rsid w:val="00337B8D"/>
    <w:pPr>
      <w:keepNext/>
      <w:keepLines/>
      <w:spacing w:before="36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E35E1F"/>
    <w:pPr>
      <w:keepNext/>
      <w:keepLines/>
      <w:spacing w:before="240"/>
      <w:outlineLvl w:val="1"/>
    </w:pPr>
    <w:rPr>
      <w:rFonts w:eastAsiaTheme="majorEastAsia" w:cstheme="majorBidi"/>
      <w:b/>
      <w:color w:val="000000" w:themeColor="text1"/>
      <w:sz w:val="22"/>
      <w:szCs w:val="26"/>
    </w:rPr>
  </w:style>
  <w:style w:type="paragraph" w:styleId="Heading3">
    <w:name w:val="heading 3"/>
    <w:basedOn w:val="Normal"/>
    <w:next w:val="Normal"/>
    <w:link w:val="Heading3Char"/>
    <w:unhideWhenUsed/>
    <w:qFormat/>
    <w:rsid w:val="00897B1A"/>
    <w:pPr>
      <w:keepNext/>
      <w:keepLines/>
      <w:spacing w:before="120"/>
      <w:outlineLvl w:val="2"/>
    </w:pPr>
    <w:rPr>
      <w:rFonts w:eastAsiaTheme="majorEastAsia" w:cstheme="majorBidi"/>
      <w:i/>
      <w:color w:val="auto"/>
      <w:sz w:val="22"/>
      <w:szCs w:val="24"/>
    </w:rPr>
  </w:style>
  <w:style w:type="paragraph" w:styleId="Heading4">
    <w:name w:val="heading 4"/>
    <w:basedOn w:val="Normal"/>
    <w:next w:val="Normal"/>
    <w:link w:val="Heading4Char"/>
    <w:uiPriority w:val="9"/>
    <w:semiHidden/>
    <w:unhideWhenUsed/>
    <w:rsid w:val="0041169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rsid w:val="00E35E1F"/>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rsid w:val="00897B1A"/>
    <w:rPr>
      <w:rFonts w:ascii="Arial" w:eastAsiaTheme="majorEastAsia" w:hAnsi="Arial" w:cstheme="majorBidi"/>
      <w:i/>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qFormat/>
    <w:rsid w:val="004B6B78"/>
    <w:rPr>
      <w:rFonts w:ascii="Arial" w:hAnsi="Arial"/>
      <w:b/>
      <w:bCs/>
      <w:color w:val="262626" w:themeColor="text1" w:themeTint="D9"/>
      <w:sz w:val="22"/>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7E68C6"/>
    <w:pPr>
      <w:spacing w:after="200" w:line="240" w:lineRule="auto"/>
    </w:pPr>
    <w:rPr>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character" w:styleId="CommentReference">
    <w:name w:val="annotation reference"/>
    <w:basedOn w:val="DefaultParagraphFont"/>
    <w:uiPriority w:val="99"/>
    <w:semiHidden/>
    <w:unhideWhenUsed/>
    <w:rsid w:val="00A52296"/>
    <w:rPr>
      <w:sz w:val="18"/>
      <w:szCs w:val="18"/>
    </w:rPr>
  </w:style>
  <w:style w:type="paragraph" w:styleId="CommentText">
    <w:name w:val="annotation text"/>
    <w:basedOn w:val="Normal"/>
    <w:link w:val="CommentTextChar"/>
    <w:uiPriority w:val="99"/>
    <w:semiHidden/>
    <w:unhideWhenUsed/>
    <w:rsid w:val="00A52296"/>
    <w:pPr>
      <w:spacing w:line="240" w:lineRule="auto"/>
    </w:pPr>
    <w:rPr>
      <w:szCs w:val="24"/>
    </w:rPr>
  </w:style>
  <w:style w:type="character" w:customStyle="1" w:styleId="CommentTextChar">
    <w:name w:val="Comment Text Char"/>
    <w:basedOn w:val="DefaultParagraphFont"/>
    <w:link w:val="CommentText"/>
    <w:uiPriority w:val="99"/>
    <w:semiHidden/>
    <w:rsid w:val="00A52296"/>
    <w:rPr>
      <w:rFonts w:ascii="Arial" w:hAnsi="Arial"/>
      <w:color w:val="404040" w:themeColor="text1" w:themeTint="BF"/>
      <w:sz w:val="24"/>
      <w:szCs w:val="24"/>
    </w:rPr>
  </w:style>
  <w:style w:type="paragraph" w:styleId="CommentSubject">
    <w:name w:val="annotation subject"/>
    <w:basedOn w:val="CommentText"/>
    <w:next w:val="CommentText"/>
    <w:link w:val="CommentSubjectChar"/>
    <w:uiPriority w:val="99"/>
    <w:semiHidden/>
    <w:unhideWhenUsed/>
    <w:rsid w:val="00A52296"/>
    <w:rPr>
      <w:b/>
      <w:bCs/>
      <w:szCs w:val="20"/>
    </w:rPr>
  </w:style>
  <w:style w:type="character" w:customStyle="1" w:styleId="CommentSubjectChar">
    <w:name w:val="Comment Subject Char"/>
    <w:basedOn w:val="CommentTextChar"/>
    <w:link w:val="CommentSubject"/>
    <w:uiPriority w:val="99"/>
    <w:semiHidden/>
    <w:rsid w:val="00A52296"/>
    <w:rPr>
      <w:rFonts w:ascii="Arial" w:hAnsi="Arial"/>
      <w:b/>
      <w:bCs/>
      <w:color w:val="404040" w:themeColor="text1" w:themeTint="BF"/>
      <w:sz w:val="20"/>
      <w:szCs w:val="20"/>
    </w:rPr>
  </w:style>
  <w:style w:type="paragraph" w:styleId="NormalWeb">
    <w:name w:val="Normal (Web)"/>
    <w:basedOn w:val="Normal"/>
    <w:uiPriority w:val="99"/>
    <w:semiHidden/>
    <w:unhideWhenUsed/>
    <w:rsid w:val="00FC5C57"/>
    <w:pPr>
      <w:spacing w:before="240" w:after="240" w:line="240" w:lineRule="auto"/>
    </w:pPr>
    <w:rPr>
      <w:rFonts w:ascii="Times New Roman" w:eastAsia="Times New Roman" w:hAnsi="Times New Roman" w:cs="Times New Roman"/>
      <w:color w:val="auto"/>
      <w:szCs w:val="24"/>
      <w:lang w:eastAsia="en-AU"/>
    </w:rPr>
  </w:style>
  <w:style w:type="character" w:customStyle="1" w:styleId="Heading4Char">
    <w:name w:val="Heading 4 Char"/>
    <w:basedOn w:val="DefaultParagraphFont"/>
    <w:link w:val="Heading4"/>
    <w:uiPriority w:val="9"/>
    <w:semiHidden/>
    <w:rsid w:val="00411691"/>
    <w:rPr>
      <w:rFonts w:asciiTheme="majorHAnsi" w:eastAsiaTheme="majorEastAsia" w:hAnsiTheme="majorHAnsi" w:cstheme="majorBidi"/>
      <w:b/>
      <w:bCs/>
      <w:i/>
      <w:iCs/>
      <w:color w:val="5B9BD5" w:themeColor="accent1"/>
      <w:sz w:val="24"/>
    </w:rPr>
  </w:style>
  <w:style w:type="table" w:styleId="TableElegant">
    <w:name w:val="Table Elegant"/>
    <w:basedOn w:val="TableNormal"/>
    <w:rsid w:val="00411691"/>
    <w:pPr>
      <w:spacing w:after="0" w:line="24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03443"/>
    <w:pPr>
      <w:autoSpaceDE w:val="0"/>
      <w:autoSpaceDN w:val="0"/>
      <w:adjustRightInd w:val="0"/>
      <w:spacing w:after="0" w:line="240" w:lineRule="auto"/>
    </w:pPr>
    <w:rPr>
      <w:rFonts w:ascii="Arial" w:hAnsi="Arial" w:cs="Arial"/>
      <w:color w:val="000000"/>
      <w:sz w:val="24"/>
      <w:szCs w:val="24"/>
    </w:rPr>
  </w:style>
  <w:style w:type="paragraph" w:customStyle="1" w:styleId="para">
    <w:name w:val="para"/>
    <w:basedOn w:val="Normal"/>
    <w:next w:val="Normal"/>
    <w:rsid w:val="00AC4A37"/>
    <w:pPr>
      <w:tabs>
        <w:tab w:val="left" w:pos="567"/>
        <w:tab w:val="left" w:pos="1134"/>
        <w:tab w:val="left" w:pos="1701"/>
      </w:tabs>
      <w:spacing w:before="120" w:after="0" w:line="240" w:lineRule="auto"/>
    </w:pPr>
    <w:rPr>
      <w:rFonts w:eastAsia="Times New Roman" w:cs="Arial"/>
      <w:color w:val="auto"/>
      <w:szCs w:val="20"/>
      <w:lang w:eastAsia="en-AU"/>
    </w:rPr>
  </w:style>
  <w:style w:type="paragraph" w:customStyle="1" w:styleId="Author">
    <w:name w:val="Author"/>
    <w:basedOn w:val="Normal"/>
    <w:rsid w:val="00AC4A37"/>
    <w:pPr>
      <w:tabs>
        <w:tab w:val="left" w:pos="567"/>
        <w:tab w:val="left" w:pos="1134"/>
        <w:tab w:val="left" w:pos="1701"/>
      </w:tabs>
      <w:spacing w:before="120" w:after="0" w:line="240" w:lineRule="auto"/>
    </w:pPr>
    <w:rPr>
      <w:rFonts w:eastAsia="Times New Roman" w:cs="Arial"/>
      <w:b/>
      <w:bCs/>
      <w:color w:val="auto"/>
      <w:szCs w:val="24"/>
      <w:lang w:eastAsia="en-AU"/>
    </w:rPr>
  </w:style>
  <w:style w:type="character" w:customStyle="1" w:styleId="apple-converted-space">
    <w:name w:val="apple-converted-space"/>
    <w:basedOn w:val="DefaultParagraphFont"/>
    <w:rsid w:val="002968C1"/>
  </w:style>
  <w:style w:type="paragraph" w:styleId="PlainText">
    <w:name w:val="Plain Text"/>
    <w:basedOn w:val="Normal"/>
    <w:link w:val="PlainTextChar"/>
    <w:uiPriority w:val="99"/>
    <w:semiHidden/>
    <w:unhideWhenUsed/>
    <w:rsid w:val="00A838D3"/>
    <w:pPr>
      <w:spacing w:after="0" w:line="240" w:lineRule="auto"/>
    </w:pPr>
    <w:rPr>
      <w:color w:val="auto"/>
      <w:sz w:val="24"/>
      <w:szCs w:val="21"/>
    </w:rPr>
  </w:style>
  <w:style w:type="character" w:customStyle="1" w:styleId="PlainTextChar">
    <w:name w:val="Plain Text Char"/>
    <w:basedOn w:val="DefaultParagraphFont"/>
    <w:link w:val="PlainText"/>
    <w:uiPriority w:val="99"/>
    <w:semiHidden/>
    <w:rsid w:val="00A838D3"/>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1A"/>
    <w:pPr>
      <w:spacing w:after="120"/>
    </w:pPr>
    <w:rPr>
      <w:rFonts w:ascii="Arial" w:hAnsi="Arial"/>
      <w:color w:val="404040" w:themeColor="text1" w:themeTint="BF"/>
      <w:sz w:val="20"/>
    </w:rPr>
  </w:style>
  <w:style w:type="paragraph" w:styleId="Heading1">
    <w:name w:val="heading 1"/>
    <w:basedOn w:val="Normal"/>
    <w:next w:val="Normal"/>
    <w:link w:val="Heading1Char"/>
    <w:qFormat/>
    <w:rsid w:val="00337B8D"/>
    <w:pPr>
      <w:keepNext/>
      <w:keepLines/>
      <w:spacing w:before="36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E35E1F"/>
    <w:pPr>
      <w:keepNext/>
      <w:keepLines/>
      <w:spacing w:before="240"/>
      <w:outlineLvl w:val="1"/>
    </w:pPr>
    <w:rPr>
      <w:rFonts w:eastAsiaTheme="majorEastAsia" w:cstheme="majorBidi"/>
      <w:b/>
      <w:color w:val="000000" w:themeColor="text1"/>
      <w:sz w:val="22"/>
      <w:szCs w:val="26"/>
    </w:rPr>
  </w:style>
  <w:style w:type="paragraph" w:styleId="Heading3">
    <w:name w:val="heading 3"/>
    <w:basedOn w:val="Normal"/>
    <w:next w:val="Normal"/>
    <w:link w:val="Heading3Char"/>
    <w:unhideWhenUsed/>
    <w:qFormat/>
    <w:rsid w:val="00897B1A"/>
    <w:pPr>
      <w:keepNext/>
      <w:keepLines/>
      <w:spacing w:before="120"/>
      <w:outlineLvl w:val="2"/>
    </w:pPr>
    <w:rPr>
      <w:rFonts w:eastAsiaTheme="majorEastAsia" w:cstheme="majorBidi"/>
      <w:i/>
      <w:color w:val="auto"/>
      <w:sz w:val="22"/>
      <w:szCs w:val="24"/>
    </w:rPr>
  </w:style>
  <w:style w:type="paragraph" w:styleId="Heading4">
    <w:name w:val="heading 4"/>
    <w:basedOn w:val="Normal"/>
    <w:next w:val="Normal"/>
    <w:link w:val="Heading4Char"/>
    <w:uiPriority w:val="9"/>
    <w:semiHidden/>
    <w:unhideWhenUsed/>
    <w:rsid w:val="0041169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rsid w:val="00E35E1F"/>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rsid w:val="00897B1A"/>
    <w:rPr>
      <w:rFonts w:ascii="Arial" w:eastAsiaTheme="majorEastAsia" w:hAnsi="Arial" w:cstheme="majorBidi"/>
      <w:i/>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qFormat/>
    <w:rsid w:val="004B6B78"/>
    <w:rPr>
      <w:rFonts w:ascii="Arial" w:hAnsi="Arial"/>
      <w:b/>
      <w:bCs/>
      <w:color w:val="262626" w:themeColor="text1" w:themeTint="D9"/>
      <w:sz w:val="22"/>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7E68C6"/>
    <w:pPr>
      <w:spacing w:after="200" w:line="240" w:lineRule="auto"/>
    </w:pPr>
    <w:rPr>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character" w:styleId="CommentReference">
    <w:name w:val="annotation reference"/>
    <w:basedOn w:val="DefaultParagraphFont"/>
    <w:uiPriority w:val="99"/>
    <w:semiHidden/>
    <w:unhideWhenUsed/>
    <w:rsid w:val="00A52296"/>
    <w:rPr>
      <w:sz w:val="18"/>
      <w:szCs w:val="18"/>
    </w:rPr>
  </w:style>
  <w:style w:type="paragraph" w:styleId="CommentText">
    <w:name w:val="annotation text"/>
    <w:basedOn w:val="Normal"/>
    <w:link w:val="CommentTextChar"/>
    <w:uiPriority w:val="99"/>
    <w:semiHidden/>
    <w:unhideWhenUsed/>
    <w:rsid w:val="00A52296"/>
    <w:pPr>
      <w:spacing w:line="240" w:lineRule="auto"/>
    </w:pPr>
    <w:rPr>
      <w:szCs w:val="24"/>
    </w:rPr>
  </w:style>
  <w:style w:type="character" w:customStyle="1" w:styleId="CommentTextChar">
    <w:name w:val="Comment Text Char"/>
    <w:basedOn w:val="DefaultParagraphFont"/>
    <w:link w:val="CommentText"/>
    <w:uiPriority w:val="99"/>
    <w:semiHidden/>
    <w:rsid w:val="00A52296"/>
    <w:rPr>
      <w:rFonts w:ascii="Arial" w:hAnsi="Arial"/>
      <w:color w:val="404040" w:themeColor="text1" w:themeTint="BF"/>
      <w:sz w:val="24"/>
      <w:szCs w:val="24"/>
    </w:rPr>
  </w:style>
  <w:style w:type="paragraph" w:styleId="CommentSubject">
    <w:name w:val="annotation subject"/>
    <w:basedOn w:val="CommentText"/>
    <w:next w:val="CommentText"/>
    <w:link w:val="CommentSubjectChar"/>
    <w:uiPriority w:val="99"/>
    <w:semiHidden/>
    <w:unhideWhenUsed/>
    <w:rsid w:val="00A52296"/>
    <w:rPr>
      <w:b/>
      <w:bCs/>
      <w:szCs w:val="20"/>
    </w:rPr>
  </w:style>
  <w:style w:type="character" w:customStyle="1" w:styleId="CommentSubjectChar">
    <w:name w:val="Comment Subject Char"/>
    <w:basedOn w:val="CommentTextChar"/>
    <w:link w:val="CommentSubject"/>
    <w:uiPriority w:val="99"/>
    <w:semiHidden/>
    <w:rsid w:val="00A52296"/>
    <w:rPr>
      <w:rFonts w:ascii="Arial" w:hAnsi="Arial"/>
      <w:b/>
      <w:bCs/>
      <w:color w:val="404040" w:themeColor="text1" w:themeTint="BF"/>
      <w:sz w:val="20"/>
      <w:szCs w:val="20"/>
    </w:rPr>
  </w:style>
  <w:style w:type="paragraph" w:styleId="NormalWeb">
    <w:name w:val="Normal (Web)"/>
    <w:basedOn w:val="Normal"/>
    <w:uiPriority w:val="99"/>
    <w:semiHidden/>
    <w:unhideWhenUsed/>
    <w:rsid w:val="00FC5C57"/>
    <w:pPr>
      <w:spacing w:before="240" w:after="240" w:line="240" w:lineRule="auto"/>
    </w:pPr>
    <w:rPr>
      <w:rFonts w:ascii="Times New Roman" w:eastAsia="Times New Roman" w:hAnsi="Times New Roman" w:cs="Times New Roman"/>
      <w:color w:val="auto"/>
      <w:szCs w:val="24"/>
      <w:lang w:eastAsia="en-AU"/>
    </w:rPr>
  </w:style>
  <w:style w:type="character" w:customStyle="1" w:styleId="Heading4Char">
    <w:name w:val="Heading 4 Char"/>
    <w:basedOn w:val="DefaultParagraphFont"/>
    <w:link w:val="Heading4"/>
    <w:uiPriority w:val="9"/>
    <w:semiHidden/>
    <w:rsid w:val="00411691"/>
    <w:rPr>
      <w:rFonts w:asciiTheme="majorHAnsi" w:eastAsiaTheme="majorEastAsia" w:hAnsiTheme="majorHAnsi" w:cstheme="majorBidi"/>
      <w:b/>
      <w:bCs/>
      <w:i/>
      <w:iCs/>
      <w:color w:val="5B9BD5" w:themeColor="accent1"/>
      <w:sz w:val="24"/>
    </w:rPr>
  </w:style>
  <w:style w:type="table" w:styleId="TableElegant">
    <w:name w:val="Table Elegant"/>
    <w:basedOn w:val="TableNormal"/>
    <w:rsid w:val="00411691"/>
    <w:pPr>
      <w:spacing w:after="0" w:line="24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03443"/>
    <w:pPr>
      <w:autoSpaceDE w:val="0"/>
      <w:autoSpaceDN w:val="0"/>
      <w:adjustRightInd w:val="0"/>
      <w:spacing w:after="0" w:line="240" w:lineRule="auto"/>
    </w:pPr>
    <w:rPr>
      <w:rFonts w:ascii="Arial" w:hAnsi="Arial" w:cs="Arial"/>
      <w:color w:val="000000"/>
      <w:sz w:val="24"/>
      <w:szCs w:val="24"/>
    </w:rPr>
  </w:style>
  <w:style w:type="paragraph" w:customStyle="1" w:styleId="para">
    <w:name w:val="para"/>
    <w:basedOn w:val="Normal"/>
    <w:next w:val="Normal"/>
    <w:rsid w:val="00AC4A37"/>
    <w:pPr>
      <w:tabs>
        <w:tab w:val="left" w:pos="567"/>
        <w:tab w:val="left" w:pos="1134"/>
        <w:tab w:val="left" w:pos="1701"/>
      </w:tabs>
      <w:spacing w:before="120" w:after="0" w:line="240" w:lineRule="auto"/>
    </w:pPr>
    <w:rPr>
      <w:rFonts w:eastAsia="Times New Roman" w:cs="Arial"/>
      <w:color w:val="auto"/>
      <w:szCs w:val="20"/>
      <w:lang w:eastAsia="en-AU"/>
    </w:rPr>
  </w:style>
  <w:style w:type="paragraph" w:customStyle="1" w:styleId="Author">
    <w:name w:val="Author"/>
    <w:basedOn w:val="Normal"/>
    <w:rsid w:val="00AC4A37"/>
    <w:pPr>
      <w:tabs>
        <w:tab w:val="left" w:pos="567"/>
        <w:tab w:val="left" w:pos="1134"/>
        <w:tab w:val="left" w:pos="1701"/>
      </w:tabs>
      <w:spacing w:before="120" w:after="0" w:line="240" w:lineRule="auto"/>
    </w:pPr>
    <w:rPr>
      <w:rFonts w:eastAsia="Times New Roman" w:cs="Arial"/>
      <w:b/>
      <w:bCs/>
      <w:color w:val="auto"/>
      <w:szCs w:val="24"/>
      <w:lang w:eastAsia="en-AU"/>
    </w:rPr>
  </w:style>
  <w:style w:type="character" w:customStyle="1" w:styleId="apple-converted-space">
    <w:name w:val="apple-converted-space"/>
    <w:basedOn w:val="DefaultParagraphFont"/>
    <w:rsid w:val="002968C1"/>
  </w:style>
  <w:style w:type="paragraph" w:styleId="PlainText">
    <w:name w:val="Plain Text"/>
    <w:basedOn w:val="Normal"/>
    <w:link w:val="PlainTextChar"/>
    <w:uiPriority w:val="99"/>
    <w:semiHidden/>
    <w:unhideWhenUsed/>
    <w:rsid w:val="00A838D3"/>
    <w:pPr>
      <w:spacing w:after="0" w:line="240" w:lineRule="auto"/>
    </w:pPr>
    <w:rPr>
      <w:color w:val="auto"/>
      <w:sz w:val="24"/>
      <w:szCs w:val="21"/>
    </w:rPr>
  </w:style>
  <w:style w:type="character" w:customStyle="1" w:styleId="PlainTextChar">
    <w:name w:val="Plain Text Char"/>
    <w:basedOn w:val="DefaultParagraphFont"/>
    <w:link w:val="PlainText"/>
    <w:uiPriority w:val="99"/>
    <w:semiHidden/>
    <w:rsid w:val="00A838D3"/>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764">
      <w:bodyDiv w:val="1"/>
      <w:marLeft w:val="0"/>
      <w:marRight w:val="0"/>
      <w:marTop w:val="0"/>
      <w:marBottom w:val="0"/>
      <w:divBdr>
        <w:top w:val="none" w:sz="0" w:space="0" w:color="auto"/>
        <w:left w:val="none" w:sz="0" w:space="0" w:color="auto"/>
        <w:bottom w:val="none" w:sz="0" w:space="0" w:color="auto"/>
        <w:right w:val="none" w:sz="0" w:space="0" w:color="auto"/>
      </w:divBdr>
    </w:div>
    <w:div w:id="82066844">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07092162">
      <w:bodyDiv w:val="1"/>
      <w:marLeft w:val="0"/>
      <w:marRight w:val="0"/>
      <w:marTop w:val="0"/>
      <w:marBottom w:val="0"/>
      <w:divBdr>
        <w:top w:val="none" w:sz="0" w:space="0" w:color="auto"/>
        <w:left w:val="none" w:sz="0" w:space="0" w:color="auto"/>
        <w:bottom w:val="none" w:sz="0" w:space="0" w:color="auto"/>
        <w:right w:val="none" w:sz="0" w:space="0" w:color="auto"/>
      </w:divBdr>
    </w:div>
    <w:div w:id="114569614">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155418113">
      <w:bodyDiv w:val="1"/>
      <w:marLeft w:val="0"/>
      <w:marRight w:val="0"/>
      <w:marTop w:val="0"/>
      <w:marBottom w:val="0"/>
      <w:divBdr>
        <w:top w:val="none" w:sz="0" w:space="0" w:color="auto"/>
        <w:left w:val="none" w:sz="0" w:space="0" w:color="auto"/>
        <w:bottom w:val="none" w:sz="0" w:space="0" w:color="auto"/>
        <w:right w:val="none" w:sz="0" w:space="0" w:color="auto"/>
      </w:divBdr>
    </w:div>
    <w:div w:id="170801870">
      <w:bodyDiv w:val="1"/>
      <w:marLeft w:val="0"/>
      <w:marRight w:val="0"/>
      <w:marTop w:val="0"/>
      <w:marBottom w:val="0"/>
      <w:divBdr>
        <w:top w:val="none" w:sz="0" w:space="0" w:color="auto"/>
        <w:left w:val="none" w:sz="0" w:space="0" w:color="auto"/>
        <w:bottom w:val="none" w:sz="0" w:space="0" w:color="auto"/>
        <w:right w:val="none" w:sz="0" w:space="0" w:color="auto"/>
      </w:divBdr>
    </w:div>
    <w:div w:id="225920099">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56793759">
      <w:bodyDiv w:val="1"/>
      <w:marLeft w:val="0"/>
      <w:marRight w:val="0"/>
      <w:marTop w:val="0"/>
      <w:marBottom w:val="0"/>
      <w:divBdr>
        <w:top w:val="none" w:sz="0" w:space="0" w:color="auto"/>
        <w:left w:val="none" w:sz="0" w:space="0" w:color="auto"/>
        <w:bottom w:val="none" w:sz="0" w:space="0" w:color="auto"/>
        <w:right w:val="none" w:sz="0" w:space="0" w:color="auto"/>
      </w:divBdr>
    </w:div>
    <w:div w:id="342627777">
      <w:bodyDiv w:val="1"/>
      <w:marLeft w:val="0"/>
      <w:marRight w:val="0"/>
      <w:marTop w:val="0"/>
      <w:marBottom w:val="0"/>
      <w:divBdr>
        <w:top w:val="none" w:sz="0" w:space="0" w:color="auto"/>
        <w:left w:val="none" w:sz="0" w:space="0" w:color="auto"/>
        <w:bottom w:val="none" w:sz="0" w:space="0" w:color="auto"/>
        <w:right w:val="none" w:sz="0" w:space="0" w:color="auto"/>
      </w:divBdr>
    </w:div>
    <w:div w:id="365495691">
      <w:bodyDiv w:val="1"/>
      <w:marLeft w:val="0"/>
      <w:marRight w:val="0"/>
      <w:marTop w:val="0"/>
      <w:marBottom w:val="0"/>
      <w:divBdr>
        <w:top w:val="none" w:sz="0" w:space="0" w:color="auto"/>
        <w:left w:val="none" w:sz="0" w:space="0" w:color="auto"/>
        <w:bottom w:val="none" w:sz="0" w:space="0" w:color="auto"/>
        <w:right w:val="none" w:sz="0" w:space="0" w:color="auto"/>
      </w:divBdr>
    </w:div>
    <w:div w:id="379595603">
      <w:bodyDiv w:val="1"/>
      <w:marLeft w:val="0"/>
      <w:marRight w:val="0"/>
      <w:marTop w:val="0"/>
      <w:marBottom w:val="0"/>
      <w:divBdr>
        <w:top w:val="none" w:sz="0" w:space="0" w:color="auto"/>
        <w:left w:val="none" w:sz="0" w:space="0" w:color="auto"/>
        <w:bottom w:val="none" w:sz="0" w:space="0" w:color="auto"/>
        <w:right w:val="none" w:sz="0" w:space="0" w:color="auto"/>
      </w:divBdr>
    </w:div>
    <w:div w:id="392390142">
      <w:bodyDiv w:val="1"/>
      <w:marLeft w:val="0"/>
      <w:marRight w:val="0"/>
      <w:marTop w:val="0"/>
      <w:marBottom w:val="0"/>
      <w:divBdr>
        <w:top w:val="none" w:sz="0" w:space="0" w:color="auto"/>
        <w:left w:val="none" w:sz="0" w:space="0" w:color="auto"/>
        <w:bottom w:val="none" w:sz="0" w:space="0" w:color="auto"/>
        <w:right w:val="none" w:sz="0" w:space="0" w:color="auto"/>
      </w:divBdr>
    </w:div>
    <w:div w:id="395445116">
      <w:bodyDiv w:val="1"/>
      <w:marLeft w:val="0"/>
      <w:marRight w:val="0"/>
      <w:marTop w:val="0"/>
      <w:marBottom w:val="0"/>
      <w:divBdr>
        <w:top w:val="none" w:sz="0" w:space="0" w:color="auto"/>
        <w:left w:val="none" w:sz="0" w:space="0" w:color="auto"/>
        <w:bottom w:val="none" w:sz="0" w:space="0" w:color="auto"/>
        <w:right w:val="none" w:sz="0" w:space="0" w:color="auto"/>
      </w:divBdr>
    </w:div>
    <w:div w:id="407728395">
      <w:bodyDiv w:val="1"/>
      <w:marLeft w:val="0"/>
      <w:marRight w:val="0"/>
      <w:marTop w:val="0"/>
      <w:marBottom w:val="0"/>
      <w:divBdr>
        <w:top w:val="none" w:sz="0" w:space="0" w:color="auto"/>
        <w:left w:val="none" w:sz="0" w:space="0" w:color="auto"/>
        <w:bottom w:val="none" w:sz="0" w:space="0" w:color="auto"/>
        <w:right w:val="none" w:sz="0" w:space="0" w:color="auto"/>
      </w:divBdr>
    </w:div>
    <w:div w:id="467825470">
      <w:bodyDiv w:val="1"/>
      <w:marLeft w:val="0"/>
      <w:marRight w:val="0"/>
      <w:marTop w:val="0"/>
      <w:marBottom w:val="0"/>
      <w:divBdr>
        <w:top w:val="none" w:sz="0" w:space="0" w:color="auto"/>
        <w:left w:val="none" w:sz="0" w:space="0" w:color="auto"/>
        <w:bottom w:val="none" w:sz="0" w:space="0" w:color="auto"/>
        <w:right w:val="none" w:sz="0" w:space="0" w:color="auto"/>
      </w:divBdr>
    </w:div>
    <w:div w:id="468792410">
      <w:bodyDiv w:val="1"/>
      <w:marLeft w:val="0"/>
      <w:marRight w:val="0"/>
      <w:marTop w:val="0"/>
      <w:marBottom w:val="0"/>
      <w:divBdr>
        <w:top w:val="none" w:sz="0" w:space="0" w:color="auto"/>
        <w:left w:val="none" w:sz="0" w:space="0" w:color="auto"/>
        <w:bottom w:val="none" w:sz="0" w:space="0" w:color="auto"/>
        <w:right w:val="none" w:sz="0" w:space="0" w:color="auto"/>
      </w:divBdr>
    </w:div>
    <w:div w:id="551691114">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18729168">
      <w:bodyDiv w:val="1"/>
      <w:marLeft w:val="0"/>
      <w:marRight w:val="0"/>
      <w:marTop w:val="0"/>
      <w:marBottom w:val="0"/>
      <w:divBdr>
        <w:top w:val="none" w:sz="0" w:space="0" w:color="auto"/>
        <w:left w:val="none" w:sz="0" w:space="0" w:color="auto"/>
        <w:bottom w:val="none" w:sz="0" w:space="0" w:color="auto"/>
        <w:right w:val="none" w:sz="0" w:space="0" w:color="auto"/>
      </w:divBdr>
    </w:div>
    <w:div w:id="625280371">
      <w:bodyDiv w:val="1"/>
      <w:marLeft w:val="0"/>
      <w:marRight w:val="0"/>
      <w:marTop w:val="0"/>
      <w:marBottom w:val="0"/>
      <w:divBdr>
        <w:top w:val="none" w:sz="0" w:space="0" w:color="auto"/>
        <w:left w:val="none" w:sz="0" w:space="0" w:color="auto"/>
        <w:bottom w:val="none" w:sz="0" w:space="0" w:color="auto"/>
        <w:right w:val="none" w:sz="0" w:space="0" w:color="auto"/>
      </w:divBdr>
    </w:div>
    <w:div w:id="631247751">
      <w:bodyDiv w:val="1"/>
      <w:marLeft w:val="0"/>
      <w:marRight w:val="0"/>
      <w:marTop w:val="0"/>
      <w:marBottom w:val="0"/>
      <w:divBdr>
        <w:top w:val="none" w:sz="0" w:space="0" w:color="auto"/>
        <w:left w:val="none" w:sz="0" w:space="0" w:color="auto"/>
        <w:bottom w:val="none" w:sz="0" w:space="0" w:color="auto"/>
        <w:right w:val="none" w:sz="0" w:space="0" w:color="auto"/>
      </w:divBdr>
    </w:div>
    <w:div w:id="715080319">
      <w:bodyDiv w:val="1"/>
      <w:marLeft w:val="0"/>
      <w:marRight w:val="0"/>
      <w:marTop w:val="0"/>
      <w:marBottom w:val="0"/>
      <w:divBdr>
        <w:top w:val="none" w:sz="0" w:space="0" w:color="auto"/>
        <w:left w:val="none" w:sz="0" w:space="0" w:color="auto"/>
        <w:bottom w:val="none" w:sz="0" w:space="0" w:color="auto"/>
        <w:right w:val="none" w:sz="0" w:space="0" w:color="auto"/>
      </w:divBdr>
    </w:div>
    <w:div w:id="768038900">
      <w:bodyDiv w:val="1"/>
      <w:marLeft w:val="0"/>
      <w:marRight w:val="0"/>
      <w:marTop w:val="0"/>
      <w:marBottom w:val="0"/>
      <w:divBdr>
        <w:top w:val="none" w:sz="0" w:space="0" w:color="auto"/>
        <w:left w:val="none" w:sz="0" w:space="0" w:color="auto"/>
        <w:bottom w:val="none" w:sz="0" w:space="0" w:color="auto"/>
        <w:right w:val="none" w:sz="0" w:space="0" w:color="auto"/>
      </w:divBdr>
    </w:div>
    <w:div w:id="771319193">
      <w:bodyDiv w:val="1"/>
      <w:marLeft w:val="0"/>
      <w:marRight w:val="0"/>
      <w:marTop w:val="0"/>
      <w:marBottom w:val="0"/>
      <w:divBdr>
        <w:top w:val="none" w:sz="0" w:space="0" w:color="auto"/>
        <w:left w:val="none" w:sz="0" w:space="0" w:color="auto"/>
        <w:bottom w:val="none" w:sz="0" w:space="0" w:color="auto"/>
        <w:right w:val="none" w:sz="0" w:space="0" w:color="auto"/>
      </w:divBdr>
    </w:div>
    <w:div w:id="829637295">
      <w:bodyDiv w:val="1"/>
      <w:marLeft w:val="0"/>
      <w:marRight w:val="0"/>
      <w:marTop w:val="0"/>
      <w:marBottom w:val="0"/>
      <w:divBdr>
        <w:top w:val="none" w:sz="0" w:space="0" w:color="auto"/>
        <w:left w:val="none" w:sz="0" w:space="0" w:color="auto"/>
        <w:bottom w:val="none" w:sz="0" w:space="0" w:color="auto"/>
        <w:right w:val="none" w:sz="0" w:space="0" w:color="auto"/>
      </w:divBdr>
    </w:div>
    <w:div w:id="842666472">
      <w:bodyDiv w:val="1"/>
      <w:marLeft w:val="0"/>
      <w:marRight w:val="0"/>
      <w:marTop w:val="0"/>
      <w:marBottom w:val="0"/>
      <w:divBdr>
        <w:top w:val="none" w:sz="0" w:space="0" w:color="auto"/>
        <w:left w:val="none" w:sz="0" w:space="0" w:color="auto"/>
        <w:bottom w:val="none" w:sz="0" w:space="0" w:color="auto"/>
        <w:right w:val="none" w:sz="0" w:space="0" w:color="auto"/>
      </w:divBdr>
    </w:div>
    <w:div w:id="866331059">
      <w:bodyDiv w:val="1"/>
      <w:marLeft w:val="0"/>
      <w:marRight w:val="0"/>
      <w:marTop w:val="0"/>
      <w:marBottom w:val="0"/>
      <w:divBdr>
        <w:top w:val="none" w:sz="0" w:space="0" w:color="auto"/>
        <w:left w:val="none" w:sz="0" w:space="0" w:color="auto"/>
        <w:bottom w:val="none" w:sz="0" w:space="0" w:color="auto"/>
        <w:right w:val="none" w:sz="0" w:space="0" w:color="auto"/>
      </w:divBdr>
    </w:div>
    <w:div w:id="866672989">
      <w:bodyDiv w:val="1"/>
      <w:marLeft w:val="0"/>
      <w:marRight w:val="0"/>
      <w:marTop w:val="0"/>
      <w:marBottom w:val="0"/>
      <w:divBdr>
        <w:top w:val="none" w:sz="0" w:space="0" w:color="auto"/>
        <w:left w:val="none" w:sz="0" w:space="0" w:color="auto"/>
        <w:bottom w:val="none" w:sz="0" w:space="0" w:color="auto"/>
        <w:right w:val="none" w:sz="0" w:space="0" w:color="auto"/>
      </w:divBdr>
    </w:div>
    <w:div w:id="878051375">
      <w:bodyDiv w:val="1"/>
      <w:marLeft w:val="0"/>
      <w:marRight w:val="0"/>
      <w:marTop w:val="0"/>
      <w:marBottom w:val="0"/>
      <w:divBdr>
        <w:top w:val="none" w:sz="0" w:space="0" w:color="auto"/>
        <w:left w:val="none" w:sz="0" w:space="0" w:color="auto"/>
        <w:bottom w:val="none" w:sz="0" w:space="0" w:color="auto"/>
        <w:right w:val="none" w:sz="0" w:space="0" w:color="auto"/>
      </w:divBdr>
    </w:div>
    <w:div w:id="890658108">
      <w:bodyDiv w:val="1"/>
      <w:marLeft w:val="0"/>
      <w:marRight w:val="0"/>
      <w:marTop w:val="0"/>
      <w:marBottom w:val="0"/>
      <w:divBdr>
        <w:top w:val="none" w:sz="0" w:space="0" w:color="auto"/>
        <w:left w:val="none" w:sz="0" w:space="0" w:color="auto"/>
        <w:bottom w:val="none" w:sz="0" w:space="0" w:color="auto"/>
        <w:right w:val="none" w:sz="0" w:space="0" w:color="auto"/>
      </w:divBdr>
    </w:div>
    <w:div w:id="945381246">
      <w:bodyDiv w:val="1"/>
      <w:marLeft w:val="0"/>
      <w:marRight w:val="0"/>
      <w:marTop w:val="0"/>
      <w:marBottom w:val="0"/>
      <w:divBdr>
        <w:top w:val="none" w:sz="0" w:space="0" w:color="auto"/>
        <w:left w:val="none" w:sz="0" w:space="0" w:color="auto"/>
        <w:bottom w:val="none" w:sz="0" w:space="0" w:color="auto"/>
        <w:right w:val="none" w:sz="0" w:space="0" w:color="auto"/>
      </w:divBdr>
    </w:div>
    <w:div w:id="1003974668">
      <w:bodyDiv w:val="1"/>
      <w:marLeft w:val="0"/>
      <w:marRight w:val="0"/>
      <w:marTop w:val="0"/>
      <w:marBottom w:val="0"/>
      <w:divBdr>
        <w:top w:val="none" w:sz="0" w:space="0" w:color="auto"/>
        <w:left w:val="none" w:sz="0" w:space="0" w:color="auto"/>
        <w:bottom w:val="none" w:sz="0" w:space="0" w:color="auto"/>
        <w:right w:val="none" w:sz="0" w:space="0" w:color="auto"/>
      </w:divBdr>
    </w:div>
    <w:div w:id="1056247204">
      <w:bodyDiv w:val="1"/>
      <w:marLeft w:val="0"/>
      <w:marRight w:val="0"/>
      <w:marTop w:val="0"/>
      <w:marBottom w:val="0"/>
      <w:divBdr>
        <w:top w:val="none" w:sz="0" w:space="0" w:color="auto"/>
        <w:left w:val="none" w:sz="0" w:space="0" w:color="auto"/>
        <w:bottom w:val="none" w:sz="0" w:space="0" w:color="auto"/>
        <w:right w:val="none" w:sz="0" w:space="0" w:color="auto"/>
      </w:divBdr>
    </w:div>
    <w:div w:id="1068112608">
      <w:bodyDiv w:val="1"/>
      <w:marLeft w:val="0"/>
      <w:marRight w:val="0"/>
      <w:marTop w:val="0"/>
      <w:marBottom w:val="0"/>
      <w:divBdr>
        <w:top w:val="none" w:sz="0" w:space="0" w:color="auto"/>
        <w:left w:val="none" w:sz="0" w:space="0" w:color="auto"/>
        <w:bottom w:val="none" w:sz="0" w:space="0" w:color="auto"/>
        <w:right w:val="none" w:sz="0" w:space="0" w:color="auto"/>
      </w:divBdr>
      <w:divsChild>
        <w:div w:id="1232622232">
          <w:marLeft w:val="0"/>
          <w:marRight w:val="0"/>
          <w:marTop w:val="0"/>
          <w:marBottom w:val="0"/>
          <w:divBdr>
            <w:top w:val="none" w:sz="0" w:space="0" w:color="auto"/>
            <w:left w:val="none" w:sz="0" w:space="0" w:color="auto"/>
            <w:bottom w:val="none" w:sz="0" w:space="0" w:color="auto"/>
            <w:right w:val="none" w:sz="0" w:space="0" w:color="auto"/>
          </w:divBdr>
          <w:divsChild>
            <w:div w:id="1684015507">
              <w:marLeft w:val="0"/>
              <w:marRight w:val="0"/>
              <w:marTop w:val="0"/>
              <w:marBottom w:val="0"/>
              <w:divBdr>
                <w:top w:val="none" w:sz="0" w:space="0" w:color="auto"/>
                <w:left w:val="none" w:sz="0" w:space="0" w:color="auto"/>
                <w:bottom w:val="none" w:sz="0" w:space="0" w:color="auto"/>
                <w:right w:val="none" w:sz="0" w:space="0" w:color="auto"/>
              </w:divBdr>
              <w:divsChild>
                <w:div w:id="1614165632">
                  <w:marLeft w:val="0"/>
                  <w:marRight w:val="0"/>
                  <w:marTop w:val="0"/>
                  <w:marBottom w:val="0"/>
                  <w:divBdr>
                    <w:top w:val="none" w:sz="0" w:space="0" w:color="auto"/>
                    <w:left w:val="none" w:sz="0" w:space="0" w:color="auto"/>
                    <w:bottom w:val="none" w:sz="0" w:space="0" w:color="auto"/>
                    <w:right w:val="none" w:sz="0" w:space="0" w:color="auto"/>
                  </w:divBdr>
                  <w:divsChild>
                    <w:div w:id="182403846">
                      <w:marLeft w:val="0"/>
                      <w:marRight w:val="0"/>
                      <w:marTop w:val="0"/>
                      <w:marBottom w:val="0"/>
                      <w:divBdr>
                        <w:top w:val="none" w:sz="0" w:space="0" w:color="auto"/>
                        <w:left w:val="none" w:sz="0" w:space="0" w:color="auto"/>
                        <w:bottom w:val="none" w:sz="0" w:space="0" w:color="auto"/>
                        <w:right w:val="none" w:sz="0" w:space="0" w:color="auto"/>
                      </w:divBdr>
                      <w:divsChild>
                        <w:div w:id="428504846">
                          <w:marLeft w:val="0"/>
                          <w:marRight w:val="0"/>
                          <w:marTop w:val="300"/>
                          <w:marBottom w:val="0"/>
                          <w:divBdr>
                            <w:top w:val="none" w:sz="0" w:space="0" w:color="auto"/>
                            <w:left w:val="none" w:sz="0" w:space="0" w:color="auto"/>
                            <w:bottom w:val="none" w:sz="0" w:space="0" w:color="auto"/>
                            <w:right w:val="none" w:sz="0" w:space="0" w:color="auto"/>
                          </w:divBdr>
                          <w:divsChild>
                            <w:div w:id="1123964771">
                              <w:marLeft w:val="0"/>
                              <w:marRight w:val="0"/>
                              <w:marTop w:val="0"/>
                              <w:marBottom w:val="0"/>
                              <w:divBdr>
                                <w:top w:val="none" w:sz="0" w:space="0" w:color="auto"/>
                                <w:left w:val="none" w:sz="0" w:space="0" w:color="auto"/>
                                <w:bottom w:val="none" w:sz="0" w:space="0" w:color="auto"/>
                                <w:right w:val="none" w:sz="0" w:space="0" w:color="auto"/>
                              </w:divBdr>
                              <w:divsChild>
                                <w:div w:id="2001694222">
                                  <w:marLeft w:val="25"/>
                                  <w:marRight w:val="-75"/>
                                  <w:marTop w:val="0"/>
                                  <w:marBottom w:val="0"/>
                                  <w:divBdr>
                                    <w:top w:val="none" w:sz="0" w:space="0" w:color="auto"/>
                                    <w:left w:val="none" w:sz="0" w:space="0" w:color="auto"/>
                                    <w:bottom w:val="none" w:sz="0" w:space="0" w:color="auto"/>
                                    <w:right w:val="none" w:sz="0" w:space="0" w:color="auto"/>
                                  </w:divBdr>
                                  <w:divsChild>
                                    <w:div w:id="1010646961">
                                      <w:marLeft w:val="0"/>
                                      <w:marRight w:val="0"/>
                                      <w:marTop w:val="0"/>
                                      <w:marBottom w:val="0"/>
                                      <w:divBdr>
                                        <w:top w:val="none" w:sz="0" w:space="0" w:color="auto"/>
                                        <w:left w:val="none" w:sz="0" w:space="0" w:color="auto"/>
                                        <w:bottom w:val="none" w:sz="0" w:space="0" w:color="auto"/>
                                        <w:right w:val="none" w:sz="0" w:space="0" w:color="auto"/>
                                      </w:divBdr>
                                      <w:divsChild>
                                        <w:div w:id="1758210439">
                                          <w:marLeft w:val="0"/>
                                          <w:marRight w:val="0"/>
                                          <w:marTop w:val="0"/>
                                          <w:marBottom w:val="0"/>
                                          <w:divBdr>
                                            <w:top w:val="none" w:sz="0" w:space="0" w:color="auto"/>
                                            <w:left w:val="none" w:sz="0" w:space="0" w:color="auto"/>
                                            <w:bottom w:val="none" w:sz="0" w:space="0" w:color="auto"/>
                                            <w:right w:val="none" w:sz="0" w:space="0" w:color="auto"/>
                                          </w:divBdr>
                                          <w:divsChild>
                                            <w:div w:id="751662705">
                                              <w:marLeft w:val="0"/>
                                              <w:marRight w:val="0"/>
                                              <w:marTop w:val="0"/>
                                              <w:marBottom w:val="0"/>
                                              <w:divBdr>
                                                <w:top w:val="none" w:sz="0" w:space="0" w:color="auto"/>
                                                <w:left w:val="none" w:sz="0" w:space="0" w:color="auto"/>
                                                <w:bottom w:val="none" w:sz="0" w:space="0" w:color="auto"/>
                                                <w:right w:val="none" w:sz="0" w:space="0" w:color="auto"/>
                                              </w:divBdr>
                                              <w:divsChild>
                                                <w:div w:id="1485317871">
                                                  <w:marLeft w:val="0"/>
                                                  <w:marRight w:val="0"/>
                                                  <w:marTop w:val="0"/>
                                                  <w:marBottom w:val="0"/>
                                                  <w:divBdr>
                                                    <w:top w:val="none" w:sz="0" w:space="0" w:color="auto"/>
                                                    <w:left w:val="none" w:sz="0" w:space="0" w:color="auto"/>
                                                    <w:bottom w:val="none" w:sz="0" w:space="0" w:color="auto"/>
                                                    <w:right w:val="none" w:sz="0" w:space="0" w:color="auto"/>
                                                  </w:divBdr>
                                                  <w:divsChild>
                                                    <w:div w:id="16163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109859382">
      <w:bodyDiv w:val="1"/>
      <w:marLeft w:val="0"/>
      <w:marRight w:val="0"/>
      <w:marTop w:val="0"/>
      <w:marBottom w:val="0"/>
      <w:divBdr>
        <w:top w:val="none" w:sz="0" w:space="0" w:color="auto"/>
        <w:left w:val="none" w:sz="0" w:space="0" w:color="auto"/>
        <w:bottom w:val="none" w:sz="0" w:space="0" w:color="auto"/>
        <w:right w:val="none" w:sz="0" w:space="0" w:color="auto"/>
      </w:divBdr>
    </w:div>
    <w:div w:id="1115829442">
      <w:bodyDiv w:val="1"/>
      <w:marLeft w:val="0"/>
      <w:marRight w:val="0"/>
      <w:marTop w:val="0"/>
      <w:marBottom w:val="0"/>
      <w:divBdr>
        <w:top w:val="none" w:sz="0" w:space="0" w:color="auto"/>
        <w:left w:val="none" w:sz="0" w:space="0" w:color="auto"/>
        <w:bottom w:val="none" w:sz="0" w:space="0" w:color="auto"/>
        <w:right w:val="none" w:sz="0" w:space="0" w:color="auto"/>
      </w:divBdr>
    </w:div>
    <w:div w:id="1275095610">
      <w:bodyDiv w:val="1"/>
      <w:marLeft w:val="0"/>
      <w:marRight w:val="0"/>
      <w:marTop w:val="0"/>
      <w:marBottom w:val="0"/>
      <w:divBdr>
        <w:top w:val="none" w:sz="0" w:space="0" w:color="auto"/>
        <w:left w:val="none" w:sz="0" w:space="0" w:color="auto"/>
        <w:bottom w:val="none" w:sz="0" w:space="0" w:color="auto"/>
        <w:right w:val="none" w:sz="0" w:space="0" w:color="auto"/>
      </w:divBdr>
    </w:div>
    <w:div w:id="1308437924">
      <w:bodyDiv w:val="1"/>
      <w:marLeft w:val="0"/>
      <w:marRight w:val="0"/>
      <w:marTop w:val="0"/>
      <w:marBottom w:val="0"/>
      <w:divBdr>
        <w:top w:val="none" w:sz="0" w:space="0" w:color="auto"/>
        <w:left w:val="none" w:sz="0" w:space="0" w:color="auto"/>
        <w:bottom w:val="none" w:sz="0" w:space="0" w:color="auto"/>
        <w:right w:val="none" w:sz="0" w:space="0" w:color="auto"/>
      </w:divBdr>
    </w:div>
    <w:div w:id="1311061749">
      <w:bodyDiv w:val="1"/>
      <w:marLeft w:val="0"/>
      <w:marRight w:val="0"/>
      <w:marTop w:val="0"/>
      <w:marBottom w:val="0"/>
      <w:divBdr>
        <w:top w:val="none" w:sz="0" w:space="0" w:color="auto"/>
        <w:left w:val="none" w:sz="0" w:space="0" w:color="auto"/>
        <w:bottom w:val="none" w:sz="0" w:space="0" w:color="auto"/>
        <w:right w:val="none" w:sz="0" w:space="0" w:color="auto"/>
      </w:divBdr>
    </w:div>
    <w:div w:id="1322733107">
      <w:bodyDiv w:val="1"/>
      <w:marLeft w:val="0"/>
      <w:marRight w:val="0"/>
      <w:marTop w:val="0"/>
      <w:marBottom w:val="0"/>
      <w:divBdr>
        <w:top w:val="none" w:sz="0" w:space="0" w:color="auto"/>
        <w:left w:val="none" w:sz="0" w:space="0" w:color="auto"/>
        <w:bottom w:val="none" w:sz="0" w:space="0" w:color="auto"/>
        <w:right w:val="none" w:sz="0" w:space="0" w:color="auto"/>
      </w:divBdr>
    </w:div>
    <w:div w:id="1381783479">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33476564">
      <w:bodyDiv w:val="1"/>
      <w:marLeft w:val="0"/>
      <w:marRight w:val="0"/>
      <w:marTop w:val="0"/>
      <w:marBottom w:val="0"/>
      <w:divBdr>
        <w:top w:val="none" w:sz="0" w:space="0" w:color="auto"/>
        <w:left w:val="none" w:sz="0" w:space="0" w:color="auto"/>
        <w:bottom w:val="none" w:sz="0" w:space="0" w:color="auto"/>
        <w:right w:val="none" w:sz="0" w:space="0" w:color="auto"/>
      </w:divBdr>
    </w:div>
    <w:div w:id="1445421490">
      <w:bodyDiv w:val="1"/>
      <w:marLeft w:val="0"/>
      <w:marRight w:val="0"/>
      <w:marTop w:val="0"/>
      <w:marBottom w:val="0"/>
      <w:divBdr>
        <w:top w:val="none" w:sz="0" w:space="0" w:color="auto"/>
        <w:left w:val="none" w:sz="0" w:space="0" w:color="auto"/>
        <w:bottom w:val="none" w:sz="0" w:space="0" w:color="auto"/>
        <w:right w:val="none" w:sz="0" w:space="0" w:color="auto"/>
      </w:divBdr>
    </w:div>
    <w:div w:id="1481459346">
      <w:bodyDiv w:val="1"/>
      <w:marLeft w:val="0"/>
      <w:marRight w:val="0"/>
      <w:marTop w:val="0"/>
      <w:marBottom w:val="0"/>
      <w:divBdr>
        <w:top w:val="none" w:sz="0" w:space="0" w:color="auto"/>
        <w:left w:val="none" w:sz="0" w:space="0" w:color="auto"/>
        <w:bottom w:val="none" w:sz="0" w:space="0" w:color="auto"/>
        <w:right w:val="none" w:sz="0" w:space="0" w:color="auto"/>
      </w:divBdr>
      <w:divsChild>
        <w:div w:id="1602029850">
          <w:marLeft w:val="562"/>
          <w:marRight w:val="0"/>
          <w:marTop w:val="86"/>
          <w:marBottom w:val="0"/>
          <w:divBdr>
            <w:top w:val="none" w:sz="0" w:space="0" w:color="auto"/>
            <w:left w:val="none" w:sz="0" w:space="0" w:color="auto"/>
            <w:bottom w:val="none" w:sz="0" w:space="0" w:color="auto"/>
            <w:right w:val="none" w:sz="0" w:space="0" w:color="auto"/>
          </w:divBdr>
        </w:div>
        <w:div w:id="1479107292">
          <w:marLeft w:val="562"/>
          <w:marRight w:val="0"/>
          <w:marTop w:val="86"/>
          <w:marBottom w:val="0"/>
          <w:divBdr>
            <w:top w:val="none" w:sz="0" w:space="0" w:color="auto"/>
            <w:left w:val="none" w:sz="0" w:space="0" w:color="auto"/>
            <w:bottom w:val="none" w:sz="0" w:space="0" w:color="auto"/>
            <w:right w:val="none" w:sz="0" w:space="0" w:color="auto"/>
          </w:divBdr>
        </w:div>
        <w:div w:id="302541444">
          <w:marLeft w:val="562"/>
          <w:marRight w:val="0"/>
          <w:marTop w:val="86"/>
          <w:marBottom w:val="0"/>
          <w:divBdr>
            <w:top w:val="none" w:sz="0" w:space="0" w:color="auto"/>
            <w:left w:val="none" w:sz="0" w:space="0" w:color="auto"/>
            <w:bottom w:val="none" w:sz="0" w:space="0" w:color="auto"/>
            <w:right w:val="none" w:sz="0" w:space="0" w:color="auto"/>
          </w:divBdr>
        </w:div>
        <w:div w:id="1462502349">
          <w:marLeft w:val="562"/>
          <w:marRight w:val="0"/>
          <w:marTop w:val="86"/>
          <w:marBottom w:val="0"/>
          <w:divBdr>
            <w:top w:val="none" w:sz="0" w:space="0" w:color="auto"/>
            <w:left w:val="none" w:sz="0" w:space="0" w:color="auto"/>
            <w:bottom w:val="none" w:sz="0" w:space="0" w:color="auto"/>
            <w:right w:val="none" w:sz="0" w:space="0" w:color="auto"/>
          </w:divBdr>
        </w:div>
      </w:divsChild>
    </w:div>
    <w:div w:id="1495142406">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44901307">
      <w:bodyDiv w:val="1"/>
      <w:marLeft w:val="0"/>
      <w:marRight w:val="0"/>
      <w:marTop w:val="0"/>
      <w:marBottom w:val="0"/>
      <w:divBdr>
        <w:top w:val="none" w:sz="0" w:space="0" w:color="auto"/>
        <w:left w:val="none" w:sz="0" w:space="0" w:color="auto"/>
        <w:bottom w:val="none" w:sz="0" w:space="0" w:color="auto"/>
        <w:right w:val="none" w:sz="0" w:space="0" w:color="auto"/>
      </w:divBdr>
    </w:div>
    <w:div w:id="1553035351">
      <w:bodyDiv w:val="1"/>
      <w:marLeft w:val="0"/>
      <w:marRight w:val="0"/>
      <w:marTop w:val="0"/>
      <w:marBottom w:val="0"/>
      <w:divBdr>
        <w:top w:val="none" w:sz="0" w:space="0" w:color="auto"/>
        <w:left w:val="none" w:sz="0" w:space="0" w:color="auto"/>
        <w:bottom w:val="none" w:sz="0" w:space="0" w:color="auto"/>
        <w:right w:val="none" w:sz="0" w:space="0" w:color="auto"/>
      </w:divBdr>
    </w:div>
    <w:div w:id="1585456362">
      <w:bodyDiv w:val="1"/>
      <w:marLeft w:val="0"/>
      <w:marRight w:val="0"/>
      <w:marTop w:val="0"/>
      <w:marBottom w:val="0"/>
      <w:divBdr>
        <w:top w:val="none" w:sz="0" w:space="0" w:color="auto"/>
        <w:left w:val="none" w:sz="0" w:space="0" w:color="auto"/>
        <w:bottom w:val="none" w:sz="0" w:space="0" w:color="auto"/>
        <w:right w:val="none" w:sz="0" w:space="0" w:color="auto"/>
      </w:divBdr>
    </w:div>
    <w:div w:id="1610821788">
      <w:bodyDiv w:val="1"/>
      <w:marLeft w:val="0"/>
      <w:marRight w:val="0"/>
      <w:marTop w:val="0"/>
      <w:marBottom w:val="0"/>
      <w:divBdr>
        <w:top w:val="none" w:sz="0" w:space="0" w:color="auto"/>
        <w:left w:val="none" w:sz="0" w:space="0" w:color="auto"/>
        <w:bottom w:val="none" w:sz="0" w:space="0" w:color="auto"/>
        <w:right w:val="none" w:sz="0" w:space="0" w:color="auto"/>
      </w:divBdr>
    </w:div>
    <w:div w:id="1619946840">
      <w:bodyDiv w:val="1"/>
      <w:marLeft w:val="0"/>
      <w:marRight w:val="0"/>
      <w:marTop w:val="0"/>
      <w:marBottom w:val="0"/>
      <w:divBdr>
        <w:top w:val="none" w:sz="0" w:space="0" w:color="auto"/>
        <w:left w:val="none" w:sz="0" w:space="0" w:color="auto"/>
        <w:bottom w:val="none" w:sz="0" w:space="0" w:color="auto"/>
        <w:right w:val="none" w:sz="0" w:space="0" w:color="auto"/>
      </w:divBdr>
    </w:div>
    <w:div w:id="1665432872">
      <w:bodyDiv w:val="1"/>
      <w:marLeft w:val="0"/>
      <w:marRight w:val="0"/>
      <w:marTop w:val="0"/>
      <w:marBottom w:val="0"/>
      <w:divBdr>
        <w:top w:val="none" w:sz="0" w:space="0" w:color="auto"/>
        <w:left w:val="none" w:sz="0" w:space="0" w:color="auto"/>
        <w:bottom w:val="none" w:sz="0" w:space="0" w:color="auto"/>
        <w:right w:val="none" w:sz="0" w:space="0" w:color="auto"/>
      </w:divBdr>
    </w:div>
    <w:div w:id="1677270990">
      <w:bodyDiv w:val="1"/>
      <w:marLeft w:val="0"/>
      <w:marRight w:val="0"/>
      <w:marTop w:val="0"/>
      <w:marBottom w:val="0"/>
      <w:divBdr>
        <w:top w:val="none" w:sz="0" w:space="0" w:color="auto"/>
        <w:left w:val="none" w:sz="0" w:space="0" w:color="auto"/>
        <w:bottom w:val="none" w:sz="0" w:space="0" w:color="auto"/>
        <w:right w:val="none" w:sz="0" w:space="0" w:color="auto"/>
      </w:divBdr>
    </w:div>
    <w:div w:id="1700351395">
      <w:bodyDiv w:val="1"/>
      <w:marLeft w:val="0"/>
      <w:marRight w:val="0"/>
      <w:marTop w:val="0"/>
      <w:marBottom w:val="0"/>
      <w:divBdr>
        <w:top w:val="none" w:sz="0" w:space="0" w:color="auto"/>
        <w:left w:val="none" w:sz="0" w:space="0" w:color="auto"/>
        <w:bottom w:val="none" w:sz="0" w:space="0" w:color="auto"/>
        <w:right w:val="none" w:sz="0" w:space="0" w:color="auto"/>
      </w:divBdr>
    </w:div>
    <w:div w:id="1750346532">
      <w:bodyDiv w:val="1"/>
      <w:marLeft w:val="0"/>
      <w:marRight w:val="0"/>
      <w:marTop w:val="0"/>
      <w:marBottom w:val="0"/>
      <w:divBdr>
        <w:top w:val="none" w:sz="0" w:space="0" w:color="auto"/>
        <w:left w:val="none" w:sz="0" w:space="0" w:color="auto"/>
        <w:bottom w:val="none" w:sz="0" w:space="0" w:color="auto"/>
        <w:right w:val="none" w:sz="0" w:space="0" w:color="auto"/>
      </w:divBdr>
    </w:div>
    <w:div w:id="1756440318">
      <w:bodyDiv w:val="1"/>
      <w:marLeft w:val="0"/>
      <w:marRight w:val="0"/>
      <w:marTop w:val="0"/>
      <w:marBottom w:val="0"/>
      <w:divBdr>
        <w:top w:val="none" w:sz="0" w:space="0" w:color="auto"/>
        <w:left w:val="none" w:sz="0" w:space="0" w:color="auto"/>
        <w:bottom w:val="none" w:sz="0" w:space="0" w:color="auto"/>
        <w:right w:val="none" w:sz="0" w:space="0" w:color="auto"/>
      </w:divBdr>
    </w:div>
    <w:div w:id="1773084491">
      <w:bodyDiv w:val="1"/>
      <w:marLeft w:val="0"/>
      <w:marRight w:val="0"/>
      <w:marTop w:val="0"/>
      <w:marBottom w:val="0"/>
      <w:divBdr>
        <w:top w:val="none" w:sz="0" w:space="0" w:color="auto"/>
        <w:left w:val="none" w:sz="0" w:space="0" w:color="auto"/>
        <w:bottom w:val="none" w:sz="0" w:space="0" w:color="auto"/>
        <w:right w:val="none" w:sz="0" w:space="0" w:color="auto"/>
      </w:divBdr>
    </w:div>
    <w:div w:id="1792085869">
      <w:bodyDiv w:val="1"/>
      <w:marLeft w:val="0"/>
      <w:marRight w:val="0"/>
      <w:marTop w:val="0"/>
      <w:marBottom w:val="0"/>
      <w:divBdr>
        <w:top w:val="none" w:sz="0" w:space="0" w:color="auto"/>
        <w:left w:val="none" w:sz="0" w:space="0" w:color="auto"/>
        <w:bottom w:val="none" w:sz="0" w:space="0" w:color="auto"/>
        <w:right w:val="none" w:sz="0" w:space="0" w:color="auto"/>
      </w:divBdr>
    </w:div>
    <w:div w:id="1815833933">
      <w:bodyDiv w:val="1"/>
      <w:marLeft w:val="0"/>
      <w:marRight w:val="0"/>
      <w:marTop w:val="0"/>
      <w:marBottom w:val="0"/>
      <w:divBdr>
        <w:top w:val="none" w:sz="0" w:space="0" w:color="auto"/>
        <w:left w:val="none" w:sz="0" w:space="0" w:color="auto"/>
        <w:bottom w:val="none" w:sz="0" w:space="0" w:color="auto"/>
        <w:right w:val="none" w:sz="0" w:space="0" w:color="auto"/>
      </w:divBdr>
    </w:div>
    <w:div w:id="1855455982">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e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homas\Documents\Documents\Extension\update\2017\2017%20upda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C9DB-C050-4A79-A9D3-98947985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update paper</Template>
  <TotalTime>0</TotalTime>
  <Pages>5</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Geoff</dc:creator>
  <cp:lastModifiedBy>Beard, Ciara</cp:lastModifiedBy>
  <cp:revision>2</cp:revision>
  <cp:lastPrinted>2017-01-30T08:58:00Z</cp:lastPrinted>
  <dcterms:created xsi:type="dcterms:W3CDTF">2017-05-03T03:16:00Z</dcterms:created>
  <dcterms:modified xsi:type="dcterms:W3CDTF">2017-05-03T03:16:00Z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A469358</vt:lpwstr>
  </property>
  <property fmtid="{D5CDD505-2E9C-101B-9397-08002B2CF9AE}" pid="4" name="Objective-Title">
    <vt:lpwstr>Agzone1 wheat production values accessible 2009 - 2013</vt:lpwstr>
  </property>
  <property fmtid="{D5CDD505-2E9C-101B-9397-08002B2CF9AE}" pid="5" name="Objective-Comment">
    <vt:lpwstr>Agzone 1 - wheat variety production values (2009 - 2013)</vt:lpwstr>
  </property>
  <property fmtid="{D5CDD505-2E9C-101B-9397-08002B2CF9AE}" pid="6" name="Objective-CreationStamp">
    <vt:filetime>2014-08-26T05:35:18Z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2014-08-28T07:28:14Z</vt:filetime>
  </property>
  <property fmtid="{D5CDD505-2E9C-101B-9397-08002B2CF9AE}" pid="11" name="Objective-Owner">
    <vt:lpwstr>ZAICOU-KUNESCH Christine</vt:lpwstr>
  </property>
  <property fmtid="{D5CDD505-2E9C-101B-9397-08002B2CF9AE}" pid="12" name="Objective-Path">
    <vt:lpwstr>Objective Global Folder:Departmental Folder Structure:DAFWA:Grains Industry (Mark Sweetingham):*External Publications - Gateway - Grains Industry:Crops:Wheat:Crops - Wheat - External Web Gateway:</vt:lpwstr>
  </property>
  <property fmtid="{D5CDD505-2E9C-101B-9397-08002B2CF9AE}" pid="13" name="Objective-Parent">
    <vt:lpwstr>Crops - Wheat - External Web Gateway</vt:lpwstr>
  </property>
  <property fmtid="{D5CDD505-2E9C-101B-9397-08002B2CF9AE}" pid="14" name="Objective-State">
    <vt:lpwstr>Submitted for Approval</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changes included Vinka's edits and text changes following review</vt:lpwstr>
  </property>
  <property fmtid="{D5CDD505-2E9C-101B-9397-08002B2CF9AE}" pid="18" name="Objective-FileNumber">
    <vt:lpwstr>PM140070</vt:lpwstr>
  </property>
  <property fmtid="{D5CDD505-2E9C-101B-9397-08002B2CF9AE}" pid="19" name="Objective-Classification">
    <vt:lpwstr>[Inherited - Internal Information]</vt:lpwstr>
  </property>
  <property fmtid="{D5CDD505-2E9C-101B-9397-08002B2CF9AE}" pid="20" name="Objective-Caveats">
    <vt:lpwstr>
    </vt:lpwstr>
  </property>
  <property fmtid="{D5CDD505-2E9C-101B-9397-08002B2CF9AE}" pid="21" name="Objective-Date Written [system]">
    <vt:lpwstr>
    </vt:lpwstr>
  </property>
  <property fmtid="{D5CDD505-2E9C-101B-9397-08002B2CF9AE}" pid="22" name="Objective-Author (if other than you) [system]">
    <vt:lpwstr>
    </vt:lpwstr>
  </property>
  <property fmtid="{D5CDD505-2E9C-101B-9397-08002B2CF9AE}" pid="23" name="Objective-Organisation [system]">
    <vt:lpwstr>
    </vt:lpwstr>
  </property>
  <property fmtid="{D5CDD505-2E9C-101B-9397-08002B2CF9AE}" pid="24" name="Objective-Abstract / descriptors [system]">
    <vt:lpwstr>
    </vt:lpwstr>
  </property>
  <property fmtid="{D5CDD505-2E9C-101B-9397-08002B2CF9AE}" pid="25" name="Objective-Allow Intranet Search [system]">
    <vt:bool>false</vt:bool>
  </property>
  <property fmtid="{D5CDD505-2E9C-101B-9397-08002B2CF9AE}" pid="26" name="Objective-CMS Deleted [system]">
    <vt:bool>false</vt:bool>
  </property>
  <property fmtid="{D5CDD505-2E9C-101B-9397-08002B2CF9AE}" pid="27" name="Objective-Stored In CMS [system]">
    <vt:bool>false</vt:bool>
  </property>
  <property fmtid="{D5CDD505-2E9C-101B-9397-08002B2CF9AE}" pid="28" name="Objective-CMS Id [system]">
    <vt:lpwstr>
    </vt:lpwstr>
  </property>
</Properties>
</file>