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theme="minorBidi"/>
          <w:b w:val="0"/>
          <w:color w:val="404040" w:themeColor="text1" w:themeTint="BF"/>
          <w:szCs w:val="22"/>
        </w:rPr>
        <w:id w:val="-2083744090"/>
        <w:docPartObj>
          <w:docPartGallery w:val="Cover Pages"/>
          <w:docPartUnique/>
        </w:docPartObj>
      </w:sdtPr>
      <w:sdtEndPr>
        <w:rPr>
          <w:sz w:val="22"/>
        </w:rPr>
      </w:sdtEndPr>
      <w:sdtContent>
        <w:p w:rsidR="00D951A1" w:rsidRDefault="00D951A1" w:rsidP="00081312">
          <w:pPr>
            <w:pStyle w:val="Heading3"/>
          </w:pPr>
        </w:p>
        <w:p w:rsidR="007D60E5" w:rsidRDefault="007D60E5" w:rsidP="007D60E5">
          <w:pPr>
            <w:rPr>
              <w:rStyle w:val="TitleChar"/>
            </w:rPr>
          </w:pPr>
          <w:r w:rsidRPr="009862BF">
            <w:rPr>
              <w:rStyle w:val="TitleChar"/>
            </w:rPr>
            <w:t>Factsheet</w:t>
          </w:r>
        </w:p>
        <w:p w:rsidR="007D60E5" w:rsidRDefault="007D60E5" w:rsidP="007D60E5">
          <w:r w:rsidRPr="009862BF">
            <w:t xml:space="preserve">Date </w:t>
          </w:r>
          <w:r w:rsidR="00EB41B5">
            <w:t xml:space="preserve">21 November </w:t>
          </w:r>
          <w:r w:rsidRPr="009862BF">
            <w:t>2014</w:t>
          </w:r>
        </w:p>
        <w:p w:rsidR="00EB41B5" w:rsidRPr="00EB41B5" w:rsidRDefault="00EB41B5" w:rsidP="00EB41B5">
          <w:pPr>
            <w:pStyle w:val="Heading1"/>
          </w:pPr>
          <w:r>
            <w:rPr>
              <w:noProof/>
              <w:lang w:eastAsia="en-AU"/>
            </w:rPr>
            <mc:AlternateContent>
              <mc:Choice Requires="wps">
                <w:drawing>
                  <wp:anchor distT="0" distB="0" distL="114300" distR="114300" simplePos="0" relativeHeight="251659264" behindDoc="0" locked="0" layoutInCell="1" allowOverlap="1" wp14:anchorId="6FB35729" wp14:editId="4E23B8C1">
                    <wp:simplePos x="0" y="0"/>
                    <wp:positionH relativeFrom="column">
                      <wp:posOffset>4657725</wp:posOffset>
                    </wp:positionH>
                    <wp:positionV relativeFrom="paragraph">
                      <wp:posOffset>-270510</wp:posOffset>
                    </wp:positionV>
                    <wp:extent cx="1708785" cy="453390"/>
                    <wp:effectExtent l="0" t="5715" r="571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53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1B5" w:rsidRPr="00307C0F" w:rsidRDefault="00EB41B5" w:rsidP="00EB41B5">
                                <w:pPr>
                                  <w:rPr>
                                    <w:b/>
                                    <w:color w:val="FFFFFF"/>
                                    <w:sz w:val="28"/>
                                    <w:szCs w:val="28"/>
                                  </w:rPr>
                                </w:pPr>
                                <w:r>
                                  <w:rPr>
                                    <w:b/>
                                    <w:color w:val="FFFFFF"/>
                                    <w:sz w:val="28"/>
                                    <w:szCs w:val="28"/>
                                  </w:rPr>
                                  <w:t>1 December</w:t>
                                </w:r>
                                <w:r w:rsidRPr="00307C0F">
                                  <w:rPr>
                                    <w:b/>
                                    <w:color w:val="FFFFFF"/>
                                    <w:sz w:val="28"/>
                                    <w:szCs w:val="28"/>
                                  </w:rPr>
                                  <w:t xml:space="preserve"> 201</w:t>
                                </w:r>
                                <w:r>
                                  <w:rPr>
                                    <w:b/>
                                    <w:color w:val="FFFFFF"/>
                                    <w:sz w:val="28"/>
                                    <w:szCs w:val="28"/>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6.75pt;margin-top:-21.3pt;width:134.5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" stroked="f">
                    <v:fill opacity="0"/>
                    <v:textbox style="mso-fit-shape-to-text:t">
                      <w:txbxContent>
                        <w:p w:rsidR="00EB41B5" w:rsidRPr="00307C0F" w:rsidRDefault="00EB41B5" w:rsidP="00EB41B5">
                          <w:pPr>
                            <w:rPr>
                              <w:b/>
                              <w:color w:val="FFFFFF"/>
                              <w:sz w:val="28"/>
                              <w:szCs w:val="28"/>
                            </w:rPr>
                          </w:pPr>
                          <w:r>
                            <w:rPr>
                              <w:b/>
                              <w:color w:val="FFFFFF"/>
                              <w:sz w:val="28"/>
                              <w:szCs w:val="28"/>
                            </w:rPr>
                            <w:t>1 December</w:t>
                          </w:r>
                          <w:r w:rsidRPr="00307C0F">
                            <w:rPr>
                              <w:b/>
                              <w:color w:val="FFFFFF"/>
                              <w:sz w:val="28"/>
                              <w:szCs w:val="28"/>
                            </w:rPr>
                            <w:t xml:space="preserve"> 201</w:t>
                          </w:r>
                          <w:r>
                            <w:rPr>
                              <w:b/>
                              <w:color w:val="FFFFFF"/>
                              <w:sz w:val="28"/>
                              <w:szCs w:val="28"/>
                            </w:rPr>
                            <w:t>3</w:t>
                          </w:r>
                        </w:p>
                      </w:txbxContent>
                    </v:textbox>
                  </v:shape>
                </w:pict>
              </mc:Fallback>
            </mc:AlternateContent>
          </w:r>
          <w:r w:rsidRPr="00EB41B5">
            <w:t>Controlling loose smut of barley</w:t>
          </w:r>
        </w:p>
        <w:p w:rsidR="00EB41B5" w:rsidRDefault="00EB41B5" w:rsidP="00EB41B5">
          <w:pPr>
            <w:spacing w:after="0" w:line="240" w:lineRule="auto"/>
          </w:pPr>
        </w:p>
        <w:p w:rsidR="00EB41B5" w:rsidRPr="00AE56A6" w:rsidRDefault="00EB41B5" w:rsidP="00EB41B5">
          <w:pPr>
            <w:spacing w:line="240" w:lineRule="auto"/>
          </w:pPr>
          <w:r w:rsidRPr="00AE56A6">
            <w:t xml:space="preserve">This Factsheet has been prepared to provide an update on the </w:t>
          </w:r>
          <w:r>
            <w:t>effectiveness</w:t>
          </w:r>
          <w:r w:rsidRPr="00AE56A6">
            <w:t xml:space="preserve"> of </w:t>
          </w:r>
          <w:r>
            <w:t>seed dressings</w:t>
          </w:r>
          <w:r w:rsidRPr="00AE56A6">
            <w:t xml:space="preserve"> </w:t>
          </w:r>
          <w:r>
            <w:t>for the</w:t>
          </w:r>
          <w:r w:rsidRPr="00AE56A6">
            <w:t xml:space="preserve"> management</w:t>
          </w:r>
          <w:r>
            <w:t xml:space="preserve"> of barley loose smut for </w:t>
          </w:r>
          <w:r w:rsidRPr="00AE56A6">
            <w:t>the 201</w:t>
          </w:r>
          <w:r>
            <w:t>5</w:t>
          </w:r>
          <w:r w:rsidRPr="00AE56A6">
            <w:t xml:space="preserve"> season</w:t>
          </w:r>
          <w:r>
            <w:t>.</w:t>
          </w:r>
        </w:p>
        <w:p w:rsidR="00EB41B5" w:rsidRPr="00EB41B5" w:rsidRDefault="00EB41B5" w:rsidP="00EB41B5">
          <w:pPr>
            <w:pStyle w:val="Heading2"/>
          </w:pPr>
          <w:r w:rsidRPr="00EB41B5">
            <w:t>Key messages</w:t>
          </w:r>
        </w:p>
        <w:p w:rsidR="00EB41B5" w:rsidRDefault="00EB41B5" w:rsidP="00EB41B5">
          <w:pPr>
            <w:pStyle w:val="ListParagraph"/>
            <w:numPr>
              <w:ilvl w:val="0"/>
              <w:numId w:val="8"/>
            </w:numPr>
            <w:spacing w:before="120" w:after="120" w:line="240" w:lineRule="auto"/>
            <w:ind w:left="284" w:hanging="284"/>
            <w:contextualSpacing w:val="0"/>
          </w:pPr>
          <w:r>
            <w:t xml:space="preserve">Correct application of seed dressings registered to control loose smut is a critical step in controlling loose smut. </w:t>
          </w:r>
          <w:r w:rsidRPr="002B0CD5">
            <w:rPr>
              <w:i/>
            </w:rPr>
            <w:t>Every</w:t>
          </w:r>
          <w:r>
            <w:t xml:space="preserve"> seed needs to be adequately treated. </w:t>
          </w:r>
        </w:p>
        <w:p w:rsidR="00EB41B5" w:rsidRDefault="00EB41B5" w:rsidP="00EB41B5">
          <w:pPr>
            <w:pStyle w:val="ListParagraph"/>
            <w:numPr>
              <w:ilvl w:val="0"/>
              <w:numId w:val="8"/>
            </w:numPr>
            <w:spacing w:before="120" w:after="120" w:line="240" w:lineRule="auto"/>
            <w:ind w:left="284" w:hanging="284"/>
            <w:contextualSpacing w:val="0"/>
          </w:pPr>
          <w:r>
            <w:t>All seed dressings trialled in WA in 2013 significantly reduced levels of barley loose smut.</w:t>
          </w:r>
        </w:p>
        <w:p w:rsidR="00EB41B5" w:rsidRDefault="00EB41B5" w:rsidP="00EB41B5">
          <w:pPr>
            <w:pStyle w:val="ListParagraph"/>
            <w:numPr>
              <w:ilvl w:val="0"/>
              <w:numId w:val="8"/>
            </w:numPr>
            <w:spacing w:before="120" w:after="120" w:line="240" w:lineRule="auto"/>
            <w:ind w:left="284" w:hanging="284"/>
            <w:contextualSpacing w:val="0"/>
          </w:pPr>
          <w:r>
            <w:t xml:space="preserve">Trial data from 2013 indicates that the seed dressings </w:t>
          </w:r>
          <w:proofErr w:type="spellStart"/>
          <w:r>
            <w:t>EverGol</w:t>
          </w:r>
          <w:proofErr w:type="spellEnd"/>
          <w:r>
            <w:t xml:space="preserve">® Prime, </w:t>
          </w:r>
          <w:proofErr w:type="spellStart"/>
          <w:r>
            <w:t>Vibrance</w:t>
          </w:r>
          <w:proofErr w:type="spellEnd"/>
          <w:r>
            <w:t xml:space="preserve">® and Jockey® + </w:t>
          </w:r>
          <w:proofErr w:type="spellStart"/>
          <w:r>
            <w:t>Raxil</w:t>
          </w:r>
          <w:proofErr w:type="spellEnd"/>
          <w:r>
            <w:t>® T can reduce loose smut to near zero levels in seed that was heavily infected.</w:t>
          </w:r>
        </w:p>
        <w:p w:rsidR="00EB41B5" w:rsidRDefault="00EB41B5" w:rsidP="00EB41B5">
          <w:pPr>
            <w:pStyle w:val="ListParagraph"/>
            <w:numPr>
              <w:ilvl w:val="0"/>
              <w:numId w:val="8"/>
            </w:numPr>
            <w:spacing w:before="120" w:after="120" w:line="240" w:lineRule="auto"/>
            <w:ind w:left="284" w:hanging="284"/>
            <w:contextualSpacing w:val="0"/>
          </w:pPr>
          <w:r>
            <w:t xml:space="preserve">All barley crops should be treated as the inoculum levels of loose smut are relatively high due to the popularity of Hindmarsh, which is more susceptible to loose smut than other varieties. </w:t>
          </w:r>
        </w:p>
        <w:p w:rsidR="00F70F03" w:rsidRDefault="00F70F03" w:rsidP="00F70F03">
          <w:pPr>
            <w:pStyle w:val="ListParagraph"/>
            <w:numPr>
              <w:ilvl w:val="0"/>
              <w:numId w:val="0"/>
            </w:numPr>
            <w:spacing w:before="120" w:after="120" w:line="240" w:lineRule="auto"/>
            <w:ind w:left="284"/>
            <w:contextualSpacing w:val="0"/>
          </w:pPr>
        </w:p>
        <w:p w:rsidR="00EB41B5" w:rsidRPr="00CC6EB2" w:rsidRDefault="00EB41B5" w:rsidP="00EB41B5">
          <w:pPr>
            <w:pStyle w:val="Heading2"/>
          </w:pPr>
          <w:r w:rsidRPr="00CC6EB2">
            <w:t>Why control loose smut?</w:t>
          </w:r>
        </w:p>
        <w:p w:rsidR="00EB41B5" w:rsidRDefault="00EB41B5" w:rsidP="00EB41B5">
          <w:pPr>
            <w:spacing w:after="0" w:line="240" w:lineRule="auto"/>
          </w:pPr>
          <w:r>
            <w:t>Loose smut reduces grain yield. Every tiller of infected plants produces a smutted head instead of grain, so if 5% of tillers are affected, a yield penalty of up to 5% can occur. Also, countries such as Pakistan have zero tolerance to loose smut contaminated grain.</w:t>
          </w:r>
        </w:p>
        <w:p w:rsidR="00F70F03" w:rsidRDefault="00F70F03" w:rsidP="00EB41B5">
          <w:pPr>
            <w:spacing w:after="0" w:line="240" w:lineRule="auto"/>
          </w:pPr>
        </w:p>
        <w:p w:rsidR="00EB41B5" w:rsidRPr="003959A3" w:rsidRDefault="00EB41B5" w:rsidP="00EB41B5">
          <w:pPr>
            <w:pStyle w:val="Heading2"/>
          </w:pPr>
          <w:r w:rsidRPr="003959A3">
            <w:t xml:space="preserve">If my seed is infected, </w:t>
          </w:r>
          <w:r>
            <w:t>is it better to</w:t>
          </w:r>
          <w:r w:rsidRPr="003959A3">
            <w:t xml:space="preserve"> replace it?</w:t>
          </w:r>
        </w:p>
        <w:p w:rsidR="00EB41B5" w:rsidRDefault="00EB41B5" w:rsidP="00EB41B5">
          <w:pPr>
            <w:spacing w:after="0" w:line="240" w:lineRule="auto"/>
          </w:pPr>
          <w:r>
            <w:t xml:space="preserve">No. In the past it was suggested that growers replace seed that had a 5% level of infection. Replacing seed can be costly and poses the biosecurity risks of introducing new weeds or weeds with herbicide resistance. Instead, the data presented here demonstrates that even with heavily infected seed, the most effective fungicides can have close to 100% control of loose smut, so seed from those treatments should be suitable for sowing in the following season. Hence growers can retain their own seed and with the correct application of a seed dressing annually, keep the incidence of loose smut to minimal levels. </w:t>
          </w:r>
        </w:p>
        <w:p w:rsidR="00F70F03" w:rsidRDefault="00F70F03" w:rsidP="00EB41B5">
          <w:pPr>
            <w:spacing w:after="0" w:line="240" w:lineRule="auto"/>
          </w:pPr>
        </w:p>
        <w:p w:rsidR="00EB41B5" w:rsidRPr="00BE4333" w:rsidRDefault="00EB41B5" w:rsidP="00EB41B5">
          <w:pPr>
            <w:pStyle w:val="Heading2"/>
          </w:pPr>
          <w:r w:rsidRPr="00BE4333">
            <w:lastRenderedPageBreak/>
            <w:t>Which seed treatment should I use?</w:t>
          </w:r>
        </w:p>
        <w:p w:rsidR="00EB41B5" w:rsidRDefault="00EB41B5" w:rsidP="00EB41B5">
          <w:pPr>
            <w:spacing w:after="0" w:line="240" w:lineRule="auto"/>
          </w:pPr>
          <w:r>
            <w:t xml:space="preserve">All registered seed treatments trialled are effective at reducing the amount of loose smut. Seed harvested from infected crops should be treated with one of the most effective fungicides to ensure the best control of disease transmission. Select a seed dressing that is registered for loose smut control and suitable for your level of risk of other diseases such as scald or powdery mildew. A list of registered fungicides is available on the </w:t>
          </w:r>
          <w:hyperlink r:id="rId9" w:anchor="smartpaging_toc_p1_s3_h3" w:history="1">
            <w:r w:rsidRPr="00646CFD">
              <w:rPr>
                <w:rStyle w:val="Hyperlink"/>
              </w:rPr>
              <w:t>DAFWA website</w:t>
            </w:r>
          </w:hyperlink>
          <w:r>
            <w:t xml:space="preserve"> (hyperlink - </w:t>
          </w:r>
          <w:r w:rsidRPr="00646CFD">
            <w:t>https://www.agric.wa.gov.au/barley/seed-dressing-and-furrow-fungicides-cereals-wa</w:t>
          </w:r>
          <w:r>
            <w:t xml:space="preserve">). Insecticides are not discussed here but some seed treatments also have active ingredients that control storage pests or aphids during early growth. </w:t>
          </w:r>
        </w:p>
        <w:p w:rsidR="00F70F03" w:rsidRDefault="00F70F03" w:rsidP="00EB41B5">
          <w:pPr>
            <w:spacing w:after="0" w:line="240" w:lineRule="auto"/>
          </w:pPr>
        </w:p>
        <w:p w:rsidR="00EB41B5" w:rsidRPr="00DE0349" w:rsidRDefault="00EB41B5" w:rsidP="00EB41B5">
          <w:pPr>
            <w:pStyle w:val="Heading2"/>
          </w:pPr>
          <w:r w:rsidRPr="00DE0349">
            <w:t>Can I use in-furrow fungicides instead of seed dressing fungicides?</w:t>
          </w:r>
        </w:p>
        <w:p w:rsidR="00EB41B5" w:rsidRDefault="00EB41B5" w:rsidP="00EB41B5">
          <w:pPr>
            <w:spacing w:after="0" w:line="240" w:lineRule="auto"/>
          </w:pPr>
          <w:r>
            <w:t>In-furrow fungicides are not registered for control of loose smut and numerous trials have shown they do not control smut.</w:t>
          </w:r>
        </w:p>
        <w:p w:rsidR="00F70F03" w:rsidRDefault="00F70F03" w:rsidP="00EB41B5">
          <w:pPr>
            <w:spacing w:after="0" w:line="240" w:lineRule="auto"/>
          </w:pPr>
        </w:p>
        <w:p w:rsidR="00EB41B5" w:rsidRPr="002A789E" w:rsidRDefault="00EB41B5" w:rsidP="00EB41B5">
          <w:pPr>
            <w:pStyle w:val="Heading2"/>
          </w:pPr>
          <w:r>
            <w:t>Is Hindmarsh more susceptible to loose smut than other barley varieties?</w:t>
          </w:r>
        </w:p>
        <w:p w:rsidR="00EB41B5" w:rsidRDefault="00EB41B5" w:rsidP="00EB41B5">
          <w:pPr>
            <w:spacing w:after="0" w:line="240" w:lineRule="auto"/>
          </w:pPr>
          <w:r>
            <w:t>Yes. A trial in 2014 showed that Hindmarsh and its sister line La Trobe are both more likely to be affected by loose smut than the varieties Bass, Commander, Flinders, Gairdner, Granger, and Scope CL. Results from South Australia also suggest that Hindmarsh may be at a higher risk of loose smut infection than other varieties. Seed of Hindmarsh and La Trobe should be treated with the seed dressings which provide best control.</w:t>
          </w:r>
        </w:p>
        <w:p w:rsidR="00F70F03" w:rsidRDefault="00F70F03" w:rsidP="00F70F03">
          <w:pPr>
            <w:rPr>
              <w:b/>
              <w:bCs/>
              <w:iCs/>
            </w:rPr>
          </w:pPr>
        </w:p>
        <w:p w:rsidR="00F70F03" w:rsidRDefault="00F70F03" w:rsidP="00F70F03">
          <w:pPr>
            <w:rPr>
              <w:b/>
              <w:bCs/>
              <w:iCs/>
            </w:rPr>
          </w:pPr>
        </w:p>
        <w:p w:rsidR="00EB41B5" w:rsidRPr="002E3C0E" w:rsidRDefault="00EB41B5" w:rsidP="00F70F03">
          <w:pPr>
            <w:pStyle w:val="Heading2"/>
          </w:pPr>
          <w:r w:rsidRPr="002E3C0E">
            <w:t>2013 Trial Results</w:t>
          </w:r>
        </w:p>
        <w:p w:rsidR="00EB41B5" w:rsidRDefault="00EB41B5" w:rsidP="00EB41B5">
          <w:pPr>
            <w:spacing w:after="0" w:line="240" w:lineRule="auto"/>
            <w:rPr>
              <w:sz w:val="20"/>
            </w:rPr>
          </w:pPr>
          <w:proofErr w:type="gramStart"/>
          <w:r w:rsidRPr="005F6EE6">
            <w:rPr>
              <w:b/>
              <w:sz w:val="20"/>
            </w:rPr>
            <w:t>Table 1.</w:t>
          </w:r>
          <w:proofErr w:type="gramEnd"/>
          <w:r w:rsidRPr="005F6EE6">
            <w:rPr>
              <w:b/>
              <w:sz w:val="20"/>
            </w:rPr>
            <w:t xml:space="preserve"> </w:t>
          </w:r>
          <w:r w:rsidR="00CF5F3A">
            <w:rPr>
              <w:b/>
              <w:sz w:val="20"/>
            </w:rPr>
            <w:t xml:space="preserve"> </w:t>
          </w:r>
          <w:proofErr w:type="gramStart"/>
          <w:r w:rsidRPr="005F6EE6">
            <w:rPr>
              <w:b/>
              <w:sz w:val="20"/>
            </w:rPr>
            <w:t xml:space="preserve">The </w:t>
          </w:r>
          <w:r>
            <w:rPr>
              <w:b/>
              <w:sz w:val="20"/>
            </w:rPr>
            <w:t>level</w:t>
          </w:r>
          <w:r w:rsidRPr="005F6EE6">
            <w:rPr>
              <w:b/>
              <w:sz w:val="20"/>
            </w:rPr>
            <w:t xml:space="preserve"> of loose smut control (%) in DAFWA trials at Gibson and </w:t>
          </w:r>
          <w:proofErr w:type="spellStart"/>
          <w:r w:rsidRPr="005F6EE6">
            <w:rPr>
              <w:b/>
              <w:sz w:val="20"/>
            </w:rPr>
            <w:t>Wongan</w:t>
          </w:r>
          <w:proofErr w:type="spellEnd"/>
          <w:r w:rsidRPr="005F6EE6">
            <w:rPr>
              <w:b/>
              <w:sz w:val="20"/>
            </w:rPr>
            <w:t xml:space="preserve"> Hills</w:t>
          </w:r>
          <w:r>
            <w:rPr>
              <w:b/>
              <w:sz w:val="20"/>
            </w:rPr>
            <w:t xml:space="preserve"> in 2013</w:t>
          </w:r>
          <w:r w:rsidR="00CF5F3A">
            <w:rPr>
              <w:b/>
              <w:sz w:val="20"/>
            </w:rPr>
            <w:t>,</w:t>
          </w:r>
          <w:r w:rsidRPr="005F6EE6">
            <w:rPr>
              <w:b/>
              <w:sz w:val="20"/>
            </w:rPr>
            <w:t xml:space="preserve"> where the </w:t>
          </w:r>
          <w:r>
            <w:rPr>
              <w:b/>
              <w:bCs/>
              <w:iCs/>
              <w:sz w:val="20"/>
            </w:rPr>
            <w:t>loose smut levels of untreated controls</w:t>
          </w:r>
          <w:r w:rsidRPr="005F6EE6">
            <w:rPr>
              <w:b/>
              <w:bCs/>
              <w:iCs/>
              <w:sz w:val="20"/>
            </w:rPr>
            <w:t xml:space="preserve"> </w:t>
          </w:r>
          <w:r w:rsidRPr="005F6EE6">
            <w:rPr>
              <w:b/>
              <w:sz w:val="20"/>
            </w:rPr>
            <w:t>in 2013 w</w:t>
          </w:r>
          <w:r>
            <w:rPr>
              <w:b/>
              <w:sz w:val="20"/>
            </w:rPr>
            <w:t>ere</w:t>
          </w:r>
          <w:r w:rsidRPr="005F6EE6">
            <w:rPr>
              <w:b/>
              <w:sz w:val="20"/>
            </w:rPr>
            <w:t xml:space="preserve"> 4.1% and 2.5% respectively.</w:t>
          </w:r>
          <w:proofErr w:type="gramEnd"/>
          <w:r w:rsidRPr="005F6EE6">
            <w:rPr>
              <w:b/>
              <w:sz w:val="20"/>
            </w:rPr>
            <w:t xml:space="preserve"> </w:t>
          </w:r>
          <w:r w:rsidRPr="00DD3732">
            <w:rPr>
              <w:sz w:val="20"/>
            </w:rPr>
            <w:t xml:space="preserve">Different letters indicate a statistically different level of effectiveness and all treatments were significantly better than nil. </w:t>
          </w:r>
          <w:proofErr w:type="spellStart"/>
          <w:r w:rsidRPr="007A64A1">
            <w:rPr>
              <w:sz w:val="20"/>
            </w:rPr>
            <w:t>Vibrance</w:t>
          </w:r>
          <w:proofErr w:type="spellEnd"/>
          <w:r w:rsidRPr="007A64A1">
            <w:rPr>
              <w:sz w:val="20"/>
            </w:rPr>
            <w:t xml:space="preserve"> </w:t>
          </w:r>
          <w:r>
            <w:rPr>
              <w:sz w:val="20"/>
            </w:rPr>
            <w:t>data is not shown due to an application error at sowing.</w:t>
          </w:r>
          <w:r w:rsidR="00A94E90">
            <w:rPr>
              <w:sz w:val="20"/>
            </w:rPr>
            <w:t xml:space="preserve"> Prices were current 2013.</w:t>
          </w:r>
        </w:p>
        <w:p w:rsidR="00EB41B5" w:rsidRDefault="00EB41B5" w:rsidP="00EB41B5">
          <w:pPr>
            <w:spacing w:after="0" w:line="240" w:lineRule="auto"/>
            <w:rPr>
              <w:sz w:val="20"/>
            </w:rPr>
          </w:pPr>
        </w:p>
        <w:tbl>
          <w:tblPr>
            <w:tblStyle w:val="TableGrid"/>
            <w:tblW w:w="0" w:type="auto"/>
            <w:tblLook w:val="04A0" w:firstRow="1" w:lastRow="0" w:firstColumn="1" w:lastColumn="0" w:noHBand="0" w:noVBand="1"/>
            <w:tblCaption w:val="The level of loose smut control (%) in DAFWA trials at Gibson and Wongan Hills in 2013"/>
            <w:tblDescription w:val="The level of loose smut control (%) in DAFWA trials at Gibson and Wongan Hills in 2013 where the loose smut levels of untreated controls in 2013 were 4.1% and 2.5% respectively. Different letters indicate a statistically different level of effectiveness and all treatments were significantly better than nil. Vibrance data is not shown due to an application error at sowing."/>
          </w:tblPr>
          <w:tblGrid>
            <w:gridCol w:w="1848"/>
            <w:gridCol w:w="1848"/>
            <w:gridCol w:w="1848"/>
            <w:gridCol w:w="1849"/>
            <w:gridCol w:w="1849"/>
          </w:tblGrid>
          <w:tr w:rsidR="00EB41B5" w:rsidRPr="00EB41B5" w:rsidTr="00EB41B5">
            <w:trPr>
              <w:cnfStyle w:val="100000000000" w:firstRow="1" w:lastRow="0" w:firstColumn="0" w:lastColumn="0" w:oddVBand="0" w:evenVBand="0" w:oddHBand="0" w:evenHBand="0" w:firstRowFirstColumn="0" w:firstRowLastColumn="0" w:lastRowFirstColumn="0" w:lastRowLastColumn="0"/>
            </w:trPr>
            <w:tc>
              <w:tcPr>
                <w:tcW w:w="1848" w:type="dxa"/>
              </w:tcPr>
              <w:p w:rsidR="00EB41B5" w:rsidRPr="00EB41B5" w:rsidRDefault="00EB41B5" w:rsidP="00EB41B5">
                <w:pPr>
                  <w:rPr>
                    <w:color w:val="FFFFFF" w:themeColor="background1"/>
                    <w:sz w:val="20"/>
                  </w:rPr>
                </w:pPr>
                <w:r w:rsidRPr="00EB41B5">
                  <w:rPr>
                    <w:color w:val="FFFFFF" w:themeColor="background1"/>
                    <w:sz w:val="20"/>
                  </w:rPr>
                  <w:t>Product Name</w:t>
                </w:r>
              </w:p>
            </w:tc>
            <w:tc>
              <w:tcPr>
                <w:tcW w:w="1848" w:type="dxa"/>
              </w:tcPr>
              <w:p w:rsidR="00EB41B5" w:rsidRPr="00EB41B5" w:rsidRDefault="00EB41B5" w:rsidP="00A94E90">
                <w:pPr>
                  <w:jc w:val="center"/>
                  <w:rPr>
                    <w:color w:val="FFFFFF" w:themeColor="background1"/>
                    <w:sz w:val="20"/>
                  </w:rPr>
                </w:pPr>
                <w:r>
                  <w:rPr>
                    <w:color w:val="FFFFFF" w:themeColor="background1"/>
                    <w:sz w:val="20"/>
                  </w:rPr>
                  <w:t>Rate applied / tonne seed</w:t>
                </w:r>
              </w:p>
            </w:tc>
            <w:tc>
              <w:tcPr>
                <w:tcW w:w="1848" w:type="dxa"/>
              </w:tcPr>
              <w:p w:rsidR="00EB41B5" w:rsidRPr="00EB41B5" w:rsidRDefault="00EB41B5" w:rsidP="00A94E90">
                <w:pPr>
                  <w:jc w:val="center"/>
                  <w:rPr>
                    <w:color w:val="FFFFFF" w:themeColor="background1"/>
                    <w:sz w:val="20"/>
                  </w:rPr>
                </w:pPr>
                <w:r>
                  <w:rPr>
                    <w:color w:val="FFFFFF" w:themeColor="background1"/>
                    <w:sz w:val="20"/>
                  </w:rPr>
                  <w:t>Cost to treat 70 kg/ha seed ($)</w:t>
                </w:r>
              </w:p>
            </w:tc>
            <w:tc>
              <w:tcPr>
                <w:tcW w:w="1849" w:type="dxa"/>
              </w:tcPr>
              <w:p w:rsidR="00EB41B5" w:rsidRPr="00EB41B5" w:rsidRDefault="00EB41B5" w:rsidP="00A94E90">
                <w:pPr>
                  <w:jc w:val="center"/>
                  <w:rPr>
                    <w:color w:val="FFFFFF" w:themeColor="background1"/>
                    <w:sz w:val="20"/>
                  </w:rPr>
                </w:pPr>
                <w:r w:rsidRPr="00EB41B5">
                  <w:rPr>
                    <w:rFonts w:eastAsia="Times New Roman"/>
                    <w:b w:val="0"/>
                    <w:bCs/>
                    <w:color w:val="FFFFFF" w:themeColor="background1"/>
                    <w:sz w:val="18"/>
                    <w:szCs w:val="18"/>
                    <w:lang w:eastAsia="en-AU"/>
                  </w:rPr>
                  <w:t xml:space="preserve">Smut (% controlled) </w:t>
                </w:r>
                <w:r w:rsidRPr="00EB41B5">
                  <w:rPr>
                    <w:rFonts w:eastAsia="Times New Roman"/>
                    <w:bCs/>
                    <w:color w:val="FFFFFF" w:themeColor="background1"/>
                    <w:sz w:val="18"/>
                    <w:szCs w:val="18"/>
                    <w:lang w:eastAsia="en-AU"/>
                  </w:rPr>
                  <w:t>Gibson</w:t>
                </w:r>
              </w:p>
            </w:tc>
            <w:tc>
              <w:tcPr>
                <w:tcW w:w="1849" w:type="dxa"/>
              </w:tcPr>
              <w:p w:rsidR="00EB41B5" w:rsidRPr="00EB41B5" w:rsidRDefault="00EB41B5" w:rsidP="00A94E90">
                <w:pPr>
                  <w:jc w:val="center"/>
                  <w:rPr>
                    <w:color w:val="FFFFFF" w:themeColor="background1"/>
                    <w:sz w:val="20"/>
                  </w:rPr>
                </w:pPr>
                <w:r w:rsidRPr="00EB41B5">
                  <w:rPr>
                    <w:rFonts w:eastAsia="Times New Roman"/>
                    <w:b w:val="0"/>
                    <w:bCs/>
                    <w:color w:val="FFFFFF" w:themeColor="background1"/>
                    <w:sz w:val="18"/>
                    <w:szCs w:val="18"/>
                    <w:lang w:eastAsia="en-AU"/>
                  </w:rPr>
                  <w:t xml:space="preserve">Smut (% Controlled) </w:t>
                </w:r>
                <w:proofErr w:type="spellStart"/>
                <w:r w:rsidRPr="00EB41B5">
                  <w:rPr>
                    <w:rFonts w:eastAsia="Times New Roman"/>
                    <w:bCs/>
                    <w:color w:val="FFFFFF" w:themeColor="background1"/>
                    <w:sz w:val="18"/>
                    <w:szCs w:val="18"/>
                    <w:lang w:eastAsia="en-AU"/>
                  </w:rPr>
                  <w:t>Wongan</w:t>
                </w:r>
                <w:proofErr w:type="spellEnd"/>
                <w:r w:rsidRPr="00EB41B5">
                  <w:rPr>
                    <w:rFonts w:eastAsia="Times New Roman"/>
                    <w:bCs/>
                    <w:color w:val="FFFFFF" w:themeColor="background1"/>
                    <w:sz w:val="18"/>
                    <w:szCs w:val="18"/>
                    <w:lang w:eastAsia="en-AU"/>
                  </w:rPr>
                  <w:t xml:space="preserve"> Hills</w:t>
                </w:r>
              </w:p>
            </w:tc>
          </w:tr>
          <w:tr w:rsidR="00EB41B5" w:rsidTr="00AE0174">
            <w:tc>
              <w:tcPr>
                <w:tcW w:w="1848" w:type="dxa"/>
                <w:vAlign w:val="bottom"/>
              </w:tcPr>
              <w:p w:rsidR="00EB41B5" w:rsidRPr="00F77534" w:rsidRDefault="00EB41B5" w:rsidP="005E23AC">
                <w:pPr>
                  <w:rPr>
                    <w:rFonts w:eastAsia="Times New Roman"/>
                    <w:color w:val="000000"/>
                    <w:sz w:val="18"/>
                    <w:szCs w:val="18"/>
                    <w:lang w:eastAsia="en-AU"/>
                  </w:rPr>
                </w:pPr>
                <w:r w:rsidRPr="00F77534">
                  <w:rPr>
                    <w:rFonts w:eastAsia="Times New Roman"/>
                    <w:color w:val="000000"/>
                    <w:sz w:val="18"/>
                    <w:szCs w:val="18"/>
                    <w:lang w:eastAsia="en-AU"/>
                  </w:rPr>
                  <w:t xml:space="preserve"> </w:t>
                </w:r>
                <w:proofErr w:type="spellStart"/>
                <w:r w:rsidRPr="00F77534">
                  <w:rPr>
                    <w:rFonts w:eastAsia="Times New Roman"/>
                    <w:color w:val="000000"/>
                    <w:sz w:val="18"/>
                    <w:szCs w:val="18"/>
                    <w:lang w:eastAsia="en-AU"/>
                  </w:rPr>
                  <w:t>EverGol</w:t>
                </w:r>
                <w:proofErr w:type="spellEnd"/>
                <w:r>
                  <w:rPr>
                    <w:rFonts w:eastAsia="Times New Roman"/>
                    <w:color w:val="000000"/>
                    <w:sz w:val="18"/>
                    <w:szCs w:val="18"/>
                    <w:lang w:eastAsia="en-AU"/>
                  </w:rPr>
                  <w:t>®</w:t>
                </w:r>
                <w:r w:rsidRPr="00F77534">
                  <w:rPr>
                    <w:rFonts w:eastAsia="Times New Roman"/>
                    <w:color w:val="000000"/>
                    <w:sz w:val="18"/>
                    <w:szCs w:val="18"/>
                    <w:lang w:eastAsia="en-AU"/>
                  </w:rPr>
                  <w:t xml:space="preserve"> Prime</w:t>
                </w:r>
              </w:p>
            </w:tc>
            <w:tc>
              <w:tcPr>
                <w:tcW w:w="1848" w:type="dxa"/>
                <w:vAlign w:val="bottom"/>
              </w:tcPr>
              <w:p w:rsidR="00EB41B5" w:rsidRPr="00F77534" w:rsidRDefault="00EB41B5" w:rsidP="005E23AC">
                <w:pPr>
                  <w:jc w:val="center"/>
                  <w:rPr>
                    <w:rFonts w:eastAsia="Times New Roman"/>
                    <w:sz w:val="20"/>
                    <w:szCs w:val="20"/>
                    <w:lang w:eastAsia="en-AU"/>
                  </w:rPr>
                </w:pPr>
                <w:r w:rsidRPr="00F77534">
                  <w:rPr>
                    <w:rFonts w:eastAsia="Times New Roman"/>
                    <w:sz w:val="20"/>
                    <w:szCs w:val="20"/>
                    <w:lang w:eastAsia="en-AU"/>
                  </w:rPr>
                  <w:t>400</w:t>
                </w:r>
                <w:r>
                  <w:rPr>
                    <w:rFonts w:eastAsia="Times New Roman"/>
                    <w:sz w:val="20"/>
                    <w:szCs w:val="20"/>
                    <w:lang w:eastAsia="en-AU"/>
                  </w:rPr>
                  <w:t xml:space="preserve"> </w:t>
                </w:r>
                <w:r w:rsidRPr="00F77534">
                  <w:rPr>
                    <w:rFonts w:eastAsia="Times New Roman"/>
                    <w:sz w:val="20"/>
                    <w:szCs w:val="20"/>
                    <w:lang w:eastAsia="en-AU"/>
                  </w:rPr>
                  <w:t>mL</w:t>
                </w:r>
              </w:p>
            </w:tc>
            <w:tc>
              <w:tcPr>
                <w:tcW w:w="1848" w:type="dxa"/>
                <w:vAlign w:val="bottom"/>
              </w:tcPr>
              <w:p w:rsidR="00EB41B5" w:rsidRPr="00F77534" w:rsidRDefault="00EB41B5" w:rsidP="005E23AC">
                <w:pPr>
                  <w:jc w:val="center"/>
                  <w:rPr>
                    <w:rFonts w:eastAsia="Times New Roman"/>
                    <w:sz w:val="20"/>
                    <w:szCs w:val="20"/>
                    <w:lang w:eastAsia="en-AU"/>
                  </w:rPr>
                </w:pPr>
                <w:r w:rsidRPr="00F77534">
                  <w:rPr>
                    <w:rFonts w:eastAsia="Times New Roman"/>
                    <w:sz w:val="20"/>
                    <w:szCs w:val="20"/>
                    <w:lang w:eastAsia="en-AU"/>
                  </w:rPr>
                  <w:t>4.01</w:t>
                </w:r>
              </w:p>
            </w:tc>
            <w:tc>
              <w:tcPr>
                <w:tcW w:w="1849" w:type="dxa"/>
                <w:vAlign w:val="bottom"/>
              </w:tcPr>
              <w:p w:rsidR="00EB41B5" w:rsidRPr="00F77534" w:rsidRDefault="00EB41B5" w:rsidP="005E23AC">
                <w:pPr>
                  <w:jc w:val="center"/>
                  <w:rPr>
                    <w:rFonts w:eastAsia="Times New Roman"/>
                    <w:color w:val="000000"/>
                    <w:sz w:val="18"/>
                    <w:szCs w:val="18"/>
                    <w:lang w:eastAsia="en-AU"/>
                  </w:rPr>
                </w:pPr>
                <w:r w:rsidRPr="00F77534">
                  <w:rPr>
                    <w:rFonts w:eastAsia="Times New Roman"/>
                    <w:color w:val="000000"/>
                    <w:sz w:val="18"/>
                    <w:szCs w:val="18"/>
                    <w:lang w:eastAsia="en-AU"/>
                  </w:rPr>
                  <w:t>100% a</w:t>
                </w:r>
              </w:p>
            </w:tc>
            <w:tc>
              <w:tcPr>
                <w:tcW w:w="1849" w:type="dxa"/>
                <w:vAlign w:val="bottom"/>
              </w:tcPr>
              <w:p w:rsidR="00EB41B5" w:rsidRPr="00F77534" w:rsidRDefault="00EB41B5" w:rsidP="005E23AC">
                <w:pPr>
                  <w:jc w:val="center"/>
                  <w:rPr>
                    <w:rFonts w:eastAsia="Times New Roman"/>
                    <w:color w:val="000000"/>
                    <w:sz w:val="18"/>
                    <w:szCs w:val="18"/>
                    <w:lang w:eastAsia="en-AU"/>
                  </w:rPr>
                </w:pPr>
                <w:r>
                  <w:rPr>
                    <w:color w:val="000000"/>
                    <w:sz w:val="18"/>
                    <w:szCs w:val="18"/>
                  </w:rPr>
                  <w:t>100%  a</w:t>
                </w:r>
              </w:p>
            </w:tc>
          </w:tr>
          <w:tr w:rsidR="00EB41B5" w:rsidTr="00AE0174">
            <w:tc>
              <w:tcPr>
                <w:tcW w:w="1848" w:type="dxa"/>
                <w:vAlign w:val="bottom"/>
              </w:tcPr>
              <w:p w:rsidR="00EB41B5" w:rsidRPr="00F77534" w:rsidRDefault="00EB41B5" w:rsidP="005E23AC">
                <w:pPr>
                  <w:rPr>
                    <w:rFonts w:eastAsia="Times New Roman"/>
                    <w:color w:val="000000"/>
                    <w:sz w:val="18"/>
                    <w:szCs w:val="18"/>
                    <w:lang w:eastAsia="en-AU"/>
                  </w:rPr>
                </w:pPr>
                <w:r w:rsidRPr="00F77534">
                  <w:rPr>
                    <w:rFonts w:eastAsia="Times New Roman"/>
                    <w:color w:val="000000"/>
                    <w:sz w:val="18"/>
                    <w:szCs w:val="18"/>
                    <w:lang w:eastAsia="en-AU"/>
                  </w:rPr>
                  <w:t>Jockey</w:t>
                </w:r>
                <w:r>
                  <w:rPr>
                    <w:rFonts w:eastAsia="Times New Roman"/>
                    <w:color w:val="000000"/>
                    <w:sz w:val="18"/>
                    <w:szCs w:val="18"/>
                    <w:lang w:eastAsia="en-AU"/>
                  </w:rPr>
                  <w:t>®</w:t>
                </w:r>
                <w:r w:rsidRPr="00F77534">
                  <w:rPr>
                    <w:rFonts w:eastAsia="Times New Roman"/>
                    <w:color w:val="000000"/>
                    <w:sz w:val="18"/>
                    <w:szCs w:val="18"/>
                    <w:lang w:eastAsia="en-AU"/>
                  </w:rPr>
                  <w:t xml:space="preserve"> + </w:t>
                </w:r>
                <w:proofErr w:type="spellStart"/>
                <w:r w:rsidRPr="00F77534">
                  <w:rPr>
                    <w:rFonts w:eastAsia="Times New Roman"/>
                    <w:color w:val="000000"/>
                    <w:sz w:val="18"/>
                    <w:szCs w:val="18"/>
                    <w:lang w:eastAsia="en-AU"/>
                  </w:rPr>
                  <w:t>Raxil</w:t>
                </w:r>
                <w:proofErr w:type="spellEnd"/>
                <w:r>
                  <w:rPr>
                    <w:rFonts w:eastAsia="Times New Roman"/>
                    <w:color w:val="000000"/>
                    <w:sz w:val="18"/>
                    <w:szCs w:val="18"/>
                    <w:lang w:eastAsia="en-AU"/>
                  </w:rPr>
                  <w:t>®</w:t>
                </w:r>
                <w:r w:rsidRPr="00F77534">
                  <w:rPr>
                    <w:rFonts w:eastAsia="Times New Roman"/>
                    <w:color w:val="000000"/>
                    <w:sz w:val="18"/>
                    <w:szCs w:val="18"/>
                    <w:lang w:eastAsia="en-AU"/>
                  </w:rPr>
                  <w:t xml:space="preserve"> T</w:t>
                </w:r>
              </w:p>
            </w:tc>
            <w:tc>
              <w:tcPr>
                <w:tcW w:w="1848" w:type="dxa"/>
                <w:vAlign w:val="bottom"/>
              </w:tcPr>
              <w:p w:rsidR="00EB41B5" w:rsidRPr="00F77534" w:rsidRDefault="00EB41B5" w:rsidP="005E23AC">
                <w:pPr>
                  <w:jc w:val="center"/>
                  <w:rPr>
                    <w:rFonts w:eastAsia="Times New Roman"/>
                    <w:sz w:val="20"/>
                    <w:szCs w:val="20"/>
                    <w:lang w:eastAsia="en-AU"/>
                  </w:rPr>
                </w:pPr>
                <w:r w:rsidRPr="00F77534">
                  <w:rPr>
                    <w:rFonts w:eastAsia="Times New Roman"/>
                    <w:sz w:val="20"/>
                    <w:szCs w:val="20"/>
                    <w:lang w:eastAsia="en-AU"/>
                  </w:rPr>
                  <w:t xml:space="preserve">3 L + 1 L </w:t>
                </w:r>
              </w:p>
            </w:tc>
            <w:tc>
              <w:tcPr>
                <w:tcW w:w="1848" w:type="dxa"/>
                <w:vAlign w:val="bottom"/>
              </w:tcPr>
              <w:p w:rsidR="00EB41B5" w:rsidRPr="00F77534" w:rsidRDefault="00EB41B5" w:rsidP="005E23AC">
                <w:pPr>
                  <w:jc w:val="center"/>
                  <w:rPr>
                    <w:rFonts w:eastAsia="Times New Roman"/>
                    <w:sz w:val="20"/>
                    <w:szCs w:val="20"/>
                    <w:lang w:eastAsia="en-AU"/>
                  </w:rPr>
                </w:pPr>
                <w:r w:rsidRPr="00F77534">
                  <w:rPr>
                    <w:rFonts w:eastAsia="Times New Roman"/>
                    <w:sz w:val="20"/>
                    <w:szCs w:val="20"/>
                    <w:lang w:eastAsia="en-AU"/>
                  </w:rPr>
                  <w:t>10.75</w:t>
                </w:r>
              </w:p>
            </w:tc>
            <w:tc>
              <w:tcPr>
                <w:tcW w:w="1849" w:type="dxa"/>
                <w:vAlign w:val="bottom"/>
              </w:tcPr>
              <w:p w:rsidR="00EB41B5" w:rsidRPr="00F77534" w:rsidRDefault="00EB41B5" w:rsidP="005E23AC">
                <w:pPr>
                  <w:jc w:val="center"/>
                  <w:rPr>
                    <w:rFonts w:eastAsia="Times New Roman"/>
                    <w:color w:val="000000"/>
                    <w:sz w:val="18"/>
                    <w:szCs w:val="18"/>
                    <w:lang w:eastAsia="en-AU"/>
                  </w:rPr>
                </w:pPr>
                <w:r w:rsidRPr="00F77534">
                  <w:rPr>
                    <w:rFonts w:eastAsia="Times New Roman"/>
                    <w:color w:val="000000"/>
                    <w:sz w:val="18"/>
                    <w:szCs w:val="18"/>
                    <w:lang w:eastAsia="en-AU"/>
                  </w:rPr>
                  <w:t>99% a</w:t>
                </w:r>
              </w:p>
            </w:tc>
            <w:tc>
              <w:tcPr>
                <w:tcW w:w="1849" w:type="dxa"/>
                <w:vAlign w:val="bottom"/>
              </w:tcPr>
              <w:p w:rsidR="00EB41B5" w:rsidRPr="00F77534" w:rsidRDefault="00EB41B5" w:rsidP="005E23AC">
                <w:pPr>
                  <w:jc w:val="center"/>
                  <w:rPr>
                    <w:rFonts w:eastAsia="Times New Roman"/>
                    <w:color w:val="000000"/>
                    <w:sz w:val="18"/>
                    <w:szCs w:val="18"/>
                    <w:lang w:eastAsia="en-AU"/>
                  </w:rPr>
                </w:pPr>
                <w:r>
                  <w:rPr>
                    <w:color w:val="000000"/>
                    <w:sz w:val="18"/>
                    <w:szCs w:val="18"/>
                  </w:rPr>
                  <w:t>99%  a</w:t>
                </w:r>
              </w:p>
            </w:tc>
          </w:tr>
          <w:tr w:rsidR="00EB41B5" w:rsidTr="00AE0174">
            <w:tc>
              <w:tcPr>
                <w:tcW w:w="1848" w:type="dxa"/>
                <w:vAlign w:val="bottom"/>
              </w:tcPr>
              <w:p w:rsidR="00EB41B5" w:rsidRPr="00F77534" w:rsidRDefault="00EB41B5" w:rsidP="005E23AC">
                <w:pPr>
                  <w:rPr>
                    <w:rFonts w:eastAsia="Times New Roman"/>
                    <w:color w:val="000000"/>
                    <w:sz w:val="18"/>
                    <w:szCs w:val="18"/>
                    <w:lang w:eastAsia="en-AU"/>
                  </w:rPr>
                </w:pPr>
                <w:r w:rsidRPr="00F77534">
                  <w:rPr>
                    <w:rFonts w:eastAsia="Times New Roman"/>
                    <w:color w:val="000000"/>
                    <w:sz w:val="18"/>
                    <w:szCs w:val="18"/>
                    <w:lang w:eastAsia="en-AU"/>
                  </w:rPr>
                  <w:t xml:space="preserve"> </w:t>
                </w:r>
                <w:proofErr w:type="spellStart"/>
                <w:r w:rsidRPr="00F77534">
                  <w:rPr>
                    <w:rFonts w:eastAsia="Times New Roman"/>
                    <w:color w:val="000000"/>
                    <w:sz w:val="18"/>
                    <w:szCs w:val="18"/>
                    <w:lang w:eastAsia="en-AU"/>
                  </w:rPr>
                  <w:t>Raxil</w:t>
                </w:r>
                <w:proofErr w:type="spellEnd"/>
                <w:r>
                  <w:rPr>
                    <w:rFonts w:eastAsia="Times New Roman"/>
                    <w:color w:val="000000"/>
                    <w:sz w:val="18"/>
                    <w:szCs w:val="18"/>
                    <w:lang w:eastAsia="en-AU"/>
                  </w:rPr>
                  <w:t>®</w:t>
                </w:r>
                <w:r w:rsidRPr="00F77534">
                  <w:rPr>
                    <w:rFonts w:eastAsia="Times New Roman"/>
                    <w:color w:val="000000"/>
                    <w:sz w:val="18"/>
                    <w:szCs w:val="18"/>
                    <w:lang w:eastAsia="en-AU"/>
                  </w:rPr>
                  <w:t xml:space="preserve"> T</w:t>
                </w:r>
              </w:p>
            </w:tc>
            <w:tc>
              <w:tcPr>
                <w:tcW w:w="1848" w:type="dxa"/>
                <w:vAlign w:val="bottom"/>
              </w:tcPr>
              <w:p w:rsidR="00EB41B5" w:rsidRPr="00F77534" w:rsidRDefault="00EB41B5" w:rsidP="005E23AC">
                <w:pPr>
                  <w:jc w:val="center"/>
                  <w:rPr>
                    <w:rFonts w:eastAsia="Times New Roman"/>
                    <w:sz w:val="20"/>
                    <w:szCs w:val="20"/>
                    <w:lang w:eastAsia="en-AU"/>
                  </w:rPr>
                </w:pPr>
                <w:r w:rsidRPr="00F77534">
                  <w:rPr>
                    <w:rFonts w:eastAsia="Times New Roman"/>
                    <w:sz w:val="20"/>
                    <w:szCs w:val="20"/>
                    <w:lang w:eastAsia="en-AU"/>
                  </w:rPr>
                  <w:t xml:space="preserve">1 L </w:t>
                </w:r>
              </w:p>
            </w:tc>
            <w:tc>
              <w:tcPr>
                <w:tcW w:w="1848" w:type="dxa"/>
                <w:vAlign w:val="bottom"/>
              </w:tcPr>
              <w:p w:rsidR="00EB41B5" w:rsidRPr="00F77534" w:rsidRDefault="00EB41B5" w:rsidP="005E23AC">
                <w:pPr>
                  <w:jc w:val="center"/>
                  <w:rPr>
                    <w:rFonts w:eastAsia="Times New Roman"/>
                    <w:sz w:val="20"/>
                    <w:szCs w:val="20"/>
                    <w:lang w:eastAsia="en-AU"/>
                  </w:rPr>
                </w:pPr>
                <w:r w:rsidRPr="00F77534">
                  <w:rPr>
                    <w:rFonts w:eastAsia="Times New Roman"/>
                    <w:sz w:val="20"/>
                    <w:szCs w:val="20"/>
                    <w:lang w:eastAsia="en-AU"/>
                  </w:rPr>
                  <w:t>1.3</w:t>
                </w:r>
                <w:r>
                  <w:rPr>
                    <w:rFonts w:eastAsia="Times New Roman"/>
                    <w:sz w:val="20"/>
                    <w:szCs w:val="20"/>
                    <w:lang w:eastAsia="en-AU"/>
                  </w:rPr>
                  <w:t>0</w:t>
                </w:r>
              </w:p>
            </w:tc>
            <w:tc>
              <w:tcPr>
                <w:tcW w:w="1849" w:type="dxa"/>
                <w:vAlign w:val="bottom"/>
              </w:tcPr>
              <w:p w:rsidR="00EB41B5" w:rsidRPr="00F77534" w:rsidRDefault="00EB41B5" w:rsidP="005E23AC">
                <w:pPr>
                  <w:jc w:val="center"/>
                  <w:rPr>
                    <w:rFonts w:eastAsia="Times New Roman"/>
                    <w:color w:val="000000"/>
                    <w:sz w:val="18"/>
                    <w:szCs w:val="18"/>
                    <w:lang w:eastAsia="en-AU"/>
                  </w:rPr>
                </w:pPr>
                <w:r w:rsidRPr="00F77534">
                  <w:rPr>
                    <w:rFonts w:eastAsia="Times New Roman"/>
                    <w:color w:val="000000"/>
                    <w:sz w:val="18"/>
                    <w:szCs w:val="18"/>
                    <w:lang w:eastAsia="en-AU"/>
                  </w:rPr>
                  <w:t>93% b</w:t>
                </w:r>
              </w:p>
            </w:tc>
            <w:tc>
              <w:tcPr>
                <w:tcW w:w="1849" w:type="dxa"/>
                <w:vAlign w:val="bottom"/>
              </w:tcPr>
              <w:p w:rsidR="00EB41B5" w:rsidRPr="00F77534" w:rsidRDefault="00EB41B5" w:rsidP="005E23AC">
                <w:pPr>
                  <w:jc w:val="center"/>
                  <w:rPr>
                    <w:rFonts w:eastAsia="Times New Roman"/>
                    <w:color w:val="000000"/>
                    <w:sz w:val="18"/>
                    <w:szCs w:val="18"/>
                    <w:lang w:eastAsia="en-AU"/>
                  </w:rPr>
                </w:pPr>
                <w:r>
                  <w:rPr>
                    <w:color w:val="000000"/>
                    <w:sz w:val="18"/>
                    <w:szCs w:val="18"/>
                  </w:rPr>
                  <w:t>77%  b</w:t>
                </w:r>
              </w:p>
            </w:tc>
          </w:tr>
          <w:tr w:rsidR="00EB41B5" w:rsidTr="00AE0174">
            <w:tc>
              <w:tcPr>
                <w:tcW w:w="1848" w:type="dxa"/>
                <w:vAlign w:val="bottom"/>
              </w:tcPr>
              <w:p w:rsidR="00EB41B5" w:rsidRPr="00F77534" w:rsidRDefault="00EB41B5" w:rsidP="005E23AC">
                <w:pPr>
                  <w:rPr>
                    <w:rFonts w:eastAsia="Times New Roman"/>
                    <w:color w:val="000000"/>
                    <w:sz w:val="18"/>
                    <w:szCs w:val="18"/>
                    <w:lang w:eastAsia="en-AU"/>
                  </w:rPr>
                </w:pPr>
                <w:r w:rsidRPr="00F77534">
                  <w:rPr>
                    <w:rFonts w:eastAsia="Times New Roman"/>
                    <w:color w:val="000000"/>
                    <w:sz w:val="18"/>
                    <w:szCs w:val="18"/>
                    <w:lang w:eastAsia="en-AU"/>
                  </w:rPr>
                  <w:t xml:space="preserve"> </w:t>
                </w:r>
                <w:proofErr w:type="spellStart"/>
                <w:r w:rsidRPr="00F77534">
                  <w:rPr>
                    <w:rFonts w:eastAsia="Times New Roman"/>
                    <w:color w:val="000000"/>
                    <w:sz w:val="18"/>
                    <w:szCs w:val="18"/>
                    <w:lang w:eastAsia="en-AU"/>
                  </w:rPr>
                  <w:t>Vitaflo</w:t>
                </w:r>
                <w:proofErr w:type="spellEnd"/>
                <w:r>
                  <w:rPr>
                    <w:rFonts w:eastAsia="Times New Roman"/>
                    <w:color w:val="000000"/>
                    <w:sz w:val="18"/>
                    <w:szCs w:val="18"/>
                    <w:lang w:eastAsia="en-AU"/>
                  </w:rPr>
                  <w:t>®</w:t>
                </w:r>
                <w:r w:rsidRPr="00F77534">
                  <w:rPr>
                    <w:rFonts w:eastAsia="Times New Roman"/>
                    <w:color w:val="000000"/>
                    <w:sz w:val="18"/>
                    <w:szCs w:val="18"/>
                    <w:lang w:eastAsia="en-AU"/>
                  </w:rPr>
                  <w:t xml:space="preserve">-C </w:t>
                </w:r>
              </w:p>
            </w:tc>
            <w:tc>
              <w:tcPr>
                <w:tcW w:w="1848" w:type="dxa"/>
                <w:vAlign w:val="bottom"/>
              </w:tcPr>
              <w:p w:rsidR="00EB41B5" w:rsidRPr="00F77534" w:rsidRDefault="00EB41B5" w:rsidP="005E23AC">
                <w:pPr>
                  <w:jc w:val="center"/>
                  <w:rPr>
                    <w:rFonts w:eastAsia="Times New Roman"/>
                    <w:sz w:val="20"/>
                    <w:szCs w:val="20"/>
                    <w:lang w:eastAsia="en-AU"/>
                  </w:rPr>
                </w:pPr>
                <w:r w:rsidRPr="00F77534">
                  <w:rPr>
                    <w:rFonts w:eastAsia="Times New Roman"/>
                    <w:sz w:val="20"/>
                    <w:szCs w:val="20"/>
                    <w:lang w:eastAsia="en-AU"/>
                  </w:rPr>
                  <w:t xml:space="preserve">2.5 L </w:t>
                </w:r>
              </w:p>
            </w:tc>
            <w:tc>
              <w:tcPr>
                <w:tcW w:w="1848" w:type="dxa"/>
                <w:vAlign w:val="bottom"/>
              </w:tcPr>
              <w:p w:rsidR="00EB41B5" w:rsidRPr="00F77534" w:rsidRDefault="00EB41B5" w:rsidP="005E23AC">
                <w:pPr>
                  <w:jc w:val="center"/>
                  <w:rPr>
                    <w:rFonts w:eastAsia="Times New Roman"/>
                    <w:sz w:val="20"/>
                    <w:szCs w:val="20"/>
                    <w:lang w:eastAsia="en-AU"/>
                  </w:rPr>
                </w:pPr>
                <w:r w:rsidRPr="00F77534">
                  <w:rPr>
                    <w:rFonts w:eastAsia="Times New Roman"/>
                    <w:sz w:val="20"/>
                    <w:szCs w:val="20"/>
                    <w:lang w:eastAsia="en-AU"/>
                  </w:rPr>
                  <w:t>4.2</w:t>
                </w:r>
                <w:r>
                  <w:rPr>
                    <w:rFonts w:eastAsia="Times New Roman"/>
                    <w:sz w:val="20"/>
                    <w:szCs w:val="20"/>
                    <w:lang w:eastAsia="en-AU"/>
                  </w:rPr>
                  <w:t>0</w:t>
                </w:r>
              </w:p>
            </w:tc>
            <w:tc>
              <w:tcPr>
                <w:tcW w:w="1849" w:type="dxa"/>
                <w:vAlign w:val="bottom"/>
              </w:tcPr>
              <w:p w:rsidR="00EB41B5" w:rsidRPr="00F77534" w:rsidRDefault="00EB41B5" w:rsidP="005E23AC">
                <w:pPr>
                  <w:jc w:val="center"/>
                  <w:rPr>
                    <w:rFonts w:eastAsia="Times New Roman"/>
                    <w:color w:val="000000"/>
                    <w:sz w:val="18"/>
                    <w:szCs w:val="18"/>
                    <w:lang w:eastAsia="en-AU"/>
                  </w:rPr>
                </w:pPr>
                <w:r w:rsidRPr="00F77534">
                  <w:rPr>
                    <w:rFonts w:eastAsia="Times New Roman"/>
                    <w:color w:val="000000"/>
                    <w:sz w:val="18"/>
                    <w:szCs w:val="18"/>
                    <w:lang w:eastAsia="en-AU"/>
                  </w:rPr>
                  <w:t>93% b</w:t>
                </w:r>
              </w:p>
            </w:tc>
            <w:tc>
              <w:tcPr>
                <w:tcW w:w="1849" w:type="dxa"/>
                <w:vAlign w:val="bottom"/>
              </w:tcPr>
              <w:p w:rsidR="00EB41B5" w:rsidRPr="00F77534" w:rsidRDefault="00EB41B5" w:rsidP="005E23AC">
                <w:pPr>
                  <w:jc w:val="center"/>
                  <w:rPr>
                    <w:rFonts w:eastAsia="Times New Roman"/>
                    <w:color w:val="000000"/>
                    <w:sz w:val="18"/>
                    <w:szCs w:val="18"/>
                    <w:lang w:eastAsia="en-AU"/>
                  </w:rPr>
                </w:pPr>
                <w:r>
                  <w:rPr>
                    <w:color w:val="000000"/>
                    <w:sz w:val="18"/>
                    <w:szCs w:val="18"/>
                  </w:rPr>
                  <w:t>99%  a</w:t>
                </w:r>
              </w:p>
            </w:tc>
          </w:tr>
          <w:tr w:rsidR="00EB41B5" w:rsidTr="00AE0174">
            <w:tc>
              <w:tcPr>
                <w:tcW w:w="1848" w:type="dxa"/>
                <w:vAlign w:val="bottom"/>
              </w:tcPr>
              <w:p w:rsidR="00EB41B5" w:rsidRPr="00F77534" w:rsidRDefault="00EB41B5" w:rsidP="005E23AC">
                <w:pPr>
                  <w:rPr>
                    <w:rFonts w:eastAsia="Times New Roman"/>
                    <w:color w:val="000000"/>
                    <w:sz w:val="18"/>
                    <w:szCs w:val="18"/>
                    <w:lang w:eastAsia="en-AU"/>
                  </w:rPr>
                </w:pPr>
                <w:r>
                  <w:rPr>
                    <w:rFonts w:eastAsia="Times New Roman"/>
                    <w:color w:val="000000"/>
                    <w:sz w:val="18"/>
                    <w:szCs w:val="18"/>
                    <w:lang w:eastAsia="en-AU"/>
                  </w:rPr>
                  <w:t xml:space="preserve"> Zorro®</w:t>
                </w:r>
              </w:p>
            </w:tc>
            <w:tc>
              <w:tcPr>
                <w:tcW w:w="1848" w:type="dxa"/>
                <w:vAlign w:val="bottom"/>
              </w:tcPr>
              <w:p w:rsidR="00EB41B5" w:rsidRPr="00F77534" w:rsidRDefault="00EB41B5" w:rsidP="005E23AC">
                <w:pPr>
                  <w:jc w:val="center"/>
                  <w:rPr>
                    <w:rFonts w:eastAsia="Times New Roman"/>
                    <w:sz w:val="20"/>
                    <w:szCs w:val="20"/>
                    <w:lang w:eastAsia="en-AU"/>
                  </w:rPr>
                </w:pPr>
                <w:r w:rsidRPr="00F77534">
                  <w:rPr>
                    <w:rFonts w:eastAsia="Times New Roman"/>
                    <w:sz w:val="20"/>
                    <w:szCs w:val="20"/>
                    <w:lang w:eastAsia="en-AU"/>
                  </w:rPr>
                  <w:t xml:space="preserve">4 L </w:t>
                </w:r>
              </w:p>
            </w:tc>
            <w:tc>
              <w:tcPr>
                <w:tcW w:w="1848" w:type="dxa"/>
                <w:vAlign w:val="bottom"/>
              </w:tcPr>
              <w:p w:rsidR="00EB41B5" w:rsidRPr="00F77534" w:rsidRDefault="00EB41B5" w:rsidP="005E23AC">
                <w:pPr>
                  <w:jc w:val="center"/>
                  <w:rPr>
                    <w:rFonts w:eastAsia="Times New Roman"/>
                    <w:sz w:val="20"/>
                    <w:szCs w:val="20"/>
                    <w:lang w:eastAsia="en-AU"/>
                  </w:rPr>
                </w:pPr>
                <w:r w:rsidRPr="00F77534">
                  <w:rPr>
                    <w:rFonts w:eastAsia="Times New Roman"/>
                    <w:sz w:val="20"/>
                    <w:szCs w:val="20"/>
                    <w:lang w:eastAsia="en-AU"/>
                  </w:rPr>
                  <w:t>6.93</w:t>
                </w:r>
              </w:p>
            </w:tc>
            <w:tc>
              <w:tcPr>
                <w:tcW w:w="1849" w:type="dxa"/>
                <w:vAlign w:val="bottom"/>
              </w:tcPr>
              <w:p w:rsidR="00EB41B5" w:rsidRPr="00F77534" w:rsidRDefault="00EB41B5" w:rsidP="005E23AC">
                <w:pPr>
                  <w:jc w:val="center"/>
                  <w:rPr>
                    <w:rFonts w:eastAsia="Times New Roman"/>
                    <w:color w:val="000000"/>
                    <w:sz w:val="18"/>
                    <w:szCs w:val="18"/>
                    <w:lang w:eastAsia="en-AU"/>
                  </w:rPr>
                </w:pPr>
                <w:r w:rsidRPr="00F77534">
                  <w:rPr>
                    <w:rFonts w:eastAsia="Times New Roman"/>
                    <w:color w:val="000000"/>
                    <w:sz w:val="18"/>
                    <w:szCs w:val="18"/>
                    <w:lang w:eastAsia="en-AU"/>
                  </w:rPr>
                  <w:t>87% c</w:t>
                </w:r>
              </w:p>
            </w:tc>
            <w:tc>
              <w:tcPr>
                <w:tcW w:w="1849" w:type="dxa"/>
                <w:vAlign w:val="bottom"/>
              </w:tcPr>
              <w:p w:rsidR="00EB41B5" w:rsidRPr="00F77534" w:rsidRDefault="00EB41B5" w:rsidP="005E23AC">
                <w:pPr>
                  <w:jc w:val="center"/>
                  <w:rPr>
                    <w:rFonts w:eastAsia="Times New Roman"/>
                    <w:color w:val="000000"/>
                    <w:sz w:val="18"/>
                    <w:szCs w:val="18"/>
                    <w:lang w:eastAsia="en-AU"/>
                  </w:rPr>
                </w:pPr>
                <w:r>
                  <w:rPr>
                    <w:color w:val="000000"/>
                    <w:sz w:val="18"/>
                    <w:szCs w:val="18"/>
                  </w:rPr>
                  <w:t>85</w:t>
                </w:r>
                <w:r>
                  <w:rPr>
                    <w:color w:val="000000"/>
                    <w:sz w:val="16"/>
                    <w:szCs w:val="16"/>
                  </w:rPr>
                  <w:t> </w:t>
                </w:r>
                <w:r>
                  <w:rPr>
                    <w:color w:val="000000"/>
                    <w:sz w:val="18"/>
                    <w:szCs w:val="18"/>
                  </w:rPr>
                  <w:t>%  b</w:t>
                </w:r>
              </w:p>
            </w:tc>
          </w:tr>
          <w:tr w:rsidR="00EB41B5" w:rsidTr="00AE0174">
            <w:tc>
              <w:tcPr>
                <w:tcW w:w="1848" w:type="dxa"/>
                <w:vAlign w:val="bottom"/>
              </w:tcPr>
              <w:p w:rsidR="00EB41B5" w:rsidRPr="00F77534" w:rsidRDefault="00EB41B5" w:rsidP="005E23AC">
                <w:pPr>
                  <w:rPr>
                    <w:rFonts w:eastAsia="Times New Roman"/>
                    <w:color w:val="000000"/>
                    <w:sz w:val="18"/>
                    <w:szCs w:val="18"/>
                    <w:lang w:eastAsia="en-AU"/>
                  </w:rPr>
                </w:pPr>
                <w:r w:rsidRPr="00F77534">
                  <w:rPr>
                    <w:rFonts w:eastAsia="Times New Roman"/>
                    <w:color w:val="000000"/>
                    <w:sz w:val="18"/>
                    <w:szCs w:val="18"/>
                    <w:lang w:eastAsia="en-AU"/>
                  </w:rPr>
                  <w:t xml:space="preserve"> </w:t>
                </w:r>
                <w:proofErr w:type="spellStart"/>
                <w:r w:rsidRPr="00F77534">
                  <w:rPr>
                    <w:rFonts w:eastAsia="Times New Roman"/>
                    <w:color w:val="000000"/>
                    <w:sz w:val="18"/>
                    <w:szCs w:val="18"/>
                    <w:lang w:eastAsia="en-AU"/>
                  </w:rPr>
                  <w:t>Rancona</w:t>
                </w:r>
                <w:proofErr w:type="spellEnd"/>
                <w:r>
                  <w:rPr>
                    <w:rFonts w:eastAsia="Times New Roman"/>
                    <w:color w:val="000000"/>
                    <w:sz w:val="18"/>
                    <w:szCs w:val="18"/>
                    <w:lang w:eastAsia="en-AU"/>
                  </w:rPr>
                  <w:t>®</w:t>
                </w:r>
                <w:r w:rsidRPr="00F77534">
                  <w:rPr>
                    <w:rFonts w:eastAsia="Times New Roman"/>
                    <w:color w:val="000000"/>
                    <w:sz w:val="18"/>
                    <w:szCs w:val="18"/>
                    <w:lang w:eastAsia="en-AU"/>
                  </w:rPr>
                  <w:t xml:space="preserve"> C</w:t>
                </w:r>
              </w:p>
            </w:tc>
            <w:tc>
              <w:tcPr>
                <w:tcW w:w="1848" w:type="dxa"/>
                <w:vAlign w:val="bottom"/>
              </w:tcPr>
              <w:p w:rsidR="00EB41B5" w:rsidRPr="00F77534" w:rsidRDefault="00EB41B5" w:rsidP="005E23AC">
                <w:pPr>
                  <w:jc w:val="center"/>
                  <w:rPr>
                    <w:rFonts w:eastAsia="Times New Roman"/>
                    <w:sz w:val="20"/>
                    <w:szCs w:val="20"/>
                    <w:lang w:eastAsia="en-AU"/>
                  </w:rPr>
                </w:pPr>
                <w:r w:rsidRPr="00F77534">
                  <w:rPr>
                    <w:rFonts w:eastAsia="Times New Roman"/>
                    <w:sz w:val="20"/>
                    <w:szCs w:val="20"/>
                    <w:lang w:eastAsia="en-AU"/>
                  </w:rPr>
                  <w:t xml:space="preserve">1 L </w:t>
                </w:r>
              </w:p>
            </w:tc>
            <w:tc>
              <w:tcPr>
                <w:tcW w:w="1848" w:type="dxa"/>
                <w:vAlign w:val="bottom"/>
              </w:tcPr>
              <w:p w:rsidR="00EB41B5" w:rsidRPr="00F77534" w:rsidRDefault="00EB41B5" w:rsidP="005E23AC">
                <w:pPr>
                  <w:jc w:val="center"/>
                  <w:rPr>
                    <w:rFonts w:eastAsia="Times New Roman"/>
                    <w:sz w:val="20"/>
                    <w:szCs w:val="20"/>
                    <w:lang w:eastAsia="en-AU"/>
                  </w:rPr>
                </w:pPr>
                <w:r w:rsidRPr="00F77534">
                  <w:rPr>
                    <w:rFonts w:eastAsia="Times New Roman"/>
                    <w:sz w:val="20"/>
                    <w:szCs w:val="20"/>
                    <w:lang w:eastAsia="en-AU"/>
                  </w:rPr>
                  <w:t>2.17</w:t>
                </w:r>
              </w:p>
            </w:tc>
            <w:tc>
              <w:tcPr>
                <w:tcW w:w="1849" w:type="dxa"/>
                <w:vAlign w:val="bottom"/>
              </w:tcPr>
              <w:p w:rsidR="00EB41B5" w:rsidRPr="00F77534" w:rsidRDefault="00EB41B5" w:rsidP="005E23AC">
                <w:pPr>
                  <w:jc w:val="center"/>
                  <w:rPr>
                    <w:rFonts w:eastAsia="Times New Roman"/>
                    <w:color w:val="000000"/>
                    <w:sz w:val="18"/>
                    <w:szCs w:val="18"/>
                    <w:lang w:eastAsia="en-AU"/>
                  </w:rPr>
                </w:pPr>
                <w:r w:rsidRPr="00F77534">
                  <w:rPr>
                    <w:rFonts w:eastAsia="Times New Roman"/>
                    <w:color w:val="000000"/>
                    <w:sz w:val="18"/>
                    <w:szCs w:val="18"/>
                    <w:lang w:eastAsia="en-AU"/>
                  </w:rPr>
                  <w:t>85% c</w:t>
                </w:r>
              </w:p>
            </w:tc>
            <w:tc>
              <w:tcPr>
                <w:tcW w:w="1849" w:type="dxa"/>
                <w:vAlign w:val="bottom"/>
              </w:tcPr>
              <w:p w:rsidR="00EB41B5" w:rsidRPr="00F77534" w:rsidRDefault="00EB41B5" w:rsidP="005E23AC">
                <w:pPr>
                  <w:jc w:val="center"/>
                  <w:rPr>
                    <w:rFonts w:eastAsia="Times New Roman"/>
                    <w:color w:val="000000"/>
                    <w:sz w:val="18"/>
                    <w:szCs w:val="18"/>
                    <w:lang w:eastAsia="en-AU"/>
                  </w:rPr>
                </w:pPr>
                <w:r>
                  <w:rPr>
                    <w:color w:val="000000"/>
                    <w:sz w:val="18"/>
                    <w:szCs w:val="18"/>
                  </w:rPr>
                  <w:t>78%  b</w:t>
                </w:r>
              </w:p>
            </w:tc>
          </w:tr>
          <w:tr w:rsidR="00EB41B5" w:rsidTr="00AE0174">
            <w:tc>
              <w:tcPr>
                <w:tcW w:w="1848" w:type="dxa"/>
                <w:vAlign w:val="bottom"/>
              </w:tcPr>
              <w:p w:rsidR="00EB41B5" w:rsidRPr="00F77534" w:rsidRDefault="00EB41B5" w:rsidP="005E23AC">
                <w:pPr>
                  <w:rPr>
                    <w:rFonts w:eastAsia="Times New Roman"/>
                    <w:color w:val="000000"/>
                    <w:sz w:val="18"/>
                    <w:szCs w:val="18"/>
                    <w:lang w:eastAsia="en-AU"/>
                  </w:rPr>
                </w:pPr>
                <w:r w:rsidRPr="00F77534">
                  <w:rPr>
                    <w:rFonts w:eastAsia="Times New Roman"/>
                    <w:color w:val="000000"/>
                    <w:sz w:val="18"/>
                    <w:szCs w:val="18"/>
                    <w:lang w:eastAsia="en-AU"/>
                  </w:rPr>
                  <w:t xml:space="preserve"> Jockey</w:t>
                </w:r>
                <w:r>
                  <w:rPr>
                    <w:rFonts w:eastAsia="Times New Roman"/>
                    <w:color w:val="000000"/>
                    <w:sz w:val="18"/>
                    <w:szCs w:val="18"/>
                    <w:lang w:eastAsia="en-AU"/>
                  </w:rPr>
                  <w:t>®</w:t>
                </w:r>
                <w:r w:rsidRPr="00F77534">
                  <w:rPr>
                    <w:rFonts w:eastAsia="Times New Roman"/>
                    <w:color w:val="000000"/>
                    <w:sz w:val="18"/>
                    <w:szCs w:val="18"/>
                    <w:lang w:eastAsia="en-AU"/>
                  </w:rPr>
                  <w:t xml:space="preserve">  </w:t>
                </w:r>
              </w:p>
            </w:tc>
            <w:tc>
              <w:tcPr>
                <w:tcW w:w="1848" w:type="dxa"/>
                <w:vAlign w:val="bottom"/>
              </w:tcPr>
              <w:p w:rsidR="00EB41B5" w:rsidRPr="00F77534" w:rsidRDefault="00EB41B5" w:rsidP="005E23AC">
                <w:pPr>
                  <w:jc w:val="center"/>
                  <w:rPr>
                    <w:rFonts w:eastAsia="Times New Roman"/>
                    <w:sz w:val="20"/>
                    <w:szCs w:val="20"/>
                    <w:lang w:eastAsia="en-AU"/>
                  </w:rPr>
                </w:pPr>
                <w:r w:rsidRPr="00F77534">
                  <w:rPr>
                    <w:rFonts w:eastAsia="Times New Roman"/>
                    <w:sz w:val="20"/>
                    <w:szCs w:val="20"/>
                    <w:lang w:eastAsia="en-AU"/>
                  </w:rPr>
                  <w:t xml:space="preserve">3 L </w:t>
                </w:r>
              </w:p>
            </w:tc>
            <w:tc>
              <w:tcPr>
                <w:tcW w:w="1848" w:type="dxa"/>
                <w:vAlign w:val="bottom"/>
              </w:tcPr>
              <w:p w:rsidR="00EB41B5" w:rsidRPr="00F77534" w:rsidRDefault="00EB41B5" w:rsidP="005E23AC">
                <w:pPr>
                  <w:jc w:val="center"/>
                  <w:rPr>
                    <w:rFonts w:eastAsia="Times New Roman"/>
                    <w:sz w:val="20"/>
                    <w:szCs w:val="20"/>
                    <w:lang w:eastAsia="en-AU"/>
                  </w:rPr>
                </w:pPr>
                <w:r w:rsidRPr="00F77534">
                  <w:rPr>
                    <w:rFonts w:eastAsia="Times New Roman"/>
                    <w:sz w:val="20"/>
                    <w:szCs w:val="20"/>
                    <w:lang w:eastAsia="en-AU"/>
                  </w:rPr>
                  <w:t>9.45</w:t>
                </w:r>
              </w:p>
            </w:tc>
            <w:tc>
              <w:tcPr>
                <w:tcW w:w="1849" w:type="dxa"/>
                <w:vAlign w:val="bottom"/>
              </w:tcPr>
              <w:p w:rsidR="00EB41B5" w:rsidRPr="00F77534" w:rsidRDefault="00EB41B5" w:rsidP="005E23AC">
                <w:pPr>
                  <w:jc w:val="center"/>
                  <w:rPr>
                    <w:rFonts w:eastAsia="Times New Roman"/>
                    <w:color w:val="000000"/>
                    <w:sz w:val="18"/>
                    <w:szCs w:val="18"/>
                    <w:lang w:eastAsia="en-AU"/>
                  </w:rPr>
                </w:pPr>
                <w:r w:rsidRPr="00F77534">
                  <w:rPr>
                    <w:rFonts w:eastAsia="Times New Roman"/>
                    <w:color w:val="000000"/>
                    <w:sz w:val="18"/>
                    <w:szCs w:val="18"/>
                    <w:lang w:eastAsia="en-AU"/>
                  </w:rPr>
                  <w:t>76% d</w:t>
                </w:r>
              </w:p>
            </w:tc>
            <w:tc>
              <w:tcPr>
                <w:tcW w:w="1849" w:type="dxa"/>
                <w:vAlign w:val="bottom"/>
              </w:tcPr>
              <w:p w:rsidR="00EB41B5" w:rsidRPr="00F77534" w:rsidRDefault="00EB41B5" w:rsidP="005E23AC">
                <w:pPr>
                  <w:jc w:val="center"/>
                  <w:rPr>
                    <w:rFonts w:eastAsia="Times New Roman"/>
                    <w:color w:val="000000"/>
                    <w:sz w:val="18"/>
                    <w:szCs w:val="18"/>
                    <w:lang w:eastAsia="en-AU"/>
                  </w:rPr>
                </w:pPr>
                <w:r>
                  <w:rPr>
                    <w:color w:val="000000"/>
                    <w:sz w:val="18"/>
                    <w:szCs w:val="18"/>
                  </w:rPr>
                  <w:t>61%  c</w:t>
                </w:r>
              </w:p>
            </w:tc>
          </w:tr>
        </w:tbl>
        <w:p w:rsidR="00EB41B5" w:rsidRDefault="00EB41B5" w:rsidP="00EB41B5">
          <w:pPr>
            <w:spacing w:after="0" w:line="240" w:lineRule="auto"/>
            <w:rPr>
              <w:sz w:val="20"/>
            </w:rPr>
          </w:pPr>
        </w:p>
        <w:p w:rsidR="00EB41B5" w:rsidRDefault="00EB41B5" w:rsidP="00EB41B5">
          <w:pPr>
            <w:spacing w:after="0" w:line="240" w:lineRule="auto"/>
            <w:rPr>
              <w:sz w:val="20"/>
            </w:rPr>
          </w:pPr>
        </w:p>
        <w:p w:rsidR="00F70F03" w:rsidRDefault="00F70F03" w:rsidP="00EB41B5">
          <w:pPr>
            <w:spacing w:after="0" w:line="240" w:lineRule="auto"/>
            <w:rPr>
              <w:sz w:val="20"/>
            </w:rPr>
          </w:pPr>
        </w:p>
        <w:p w:rsidR="00F70F03" w:rsidRDefault="00F70F03" w:rsidP="00EB41B5">
          <w:pPr>
            <w:spacing w:after="0" w:line="240" w:lineRule="auto"/>
            <w:rPr>
              <w:sz w:val="20"/>
            </w:rPr>
          </w:pPr>
        </w:p>
        <w:p w:rsidR="00F70F03" w:rsidRDefault="00F70F03" w:rsidP="00EB41B5">
          <w:pPr>
            <w:spacing w:after="0" w:line="240" w:lineRule="auto"/>
            <w:rPr>
              <w:sz w:val="20"/>
            </w:rPr>
          </w:pPr>
        </w:p>
        <w:p w:rsidR="00F70F03" w:rsidRDefault="00F70F03" w:rsidP="00EB41B5">
          <w:pPr>
            <w:spacing w:after="0" w:line="240" w:lineRule="auto"/>
            <w:rPr>
              <w:sz w:val="20"/>
            </w:rPr>
          </w:pPr>
        </w:p>
        <w:p w:rsidR="00EB41B5" w:rsidRPr="007A64A1" w:rsidRDefault="00EB41B5" w:rsidP="00EB41B5">
          <w:pPr>
            <w:spacing w:after="0" w:line="240" w:lineRule="auto"/>
            <w:rPr>
              <w:sz w:val="20"/>
            </w:rPr>
          </w:pPr>
        </w:p>
        <w:p w:rsidR="00EB41B5" w:rsidRDefault="00EB41B5" w:rsidP="00EB41B5">
          <w:pPr>
            <w:pStyle w:val="Default"/>
            <w:spacing w:before="120"/>
            <w:rPr>
              <w:bCs/>
              <w:iCs/>
              <w:color w:val="auto"/>
              <w:sz w:val="20"/>
              <w:szCs w:val="22"/>
            </w:rPr>
          </w:pPr>
          <w:proofErr w:type="gramStart"/>
          <w:r w:rsidRPr="005F6EE6">
            <w:rPr>
              <w:b/>
              <w:bCs/>
              <w:iCs/>
              <w:color w:val="auto"/>
              <w:sz w:val="20"/>
              <w:szCs w:val="22"/>
            </w:rPr>
            <w:lastRenderedPageBreak/>
            <w:t>Table 2.</w:t>
          </w:r>
          <w:proofErr w:type="gramEnd"/>
          <w:r w:rsidRPr="005F6EE6">
            <w:rPr>
              <w:b/>
              <w:bCs/>
              <w:iCs/>
              <w:color w:val="auto"/>
              <w:sz w:val="20"/>
              <w:szCs w:val="22"/>
            </w:rPr>
            <w:t xml:space="preserve"> </w:t>
          </w:r>
          <w:proofErr w:type="gramStart"/>
          <w:r w:rsidRPr="005F6EE6">
            <w:rPr>
              <w:b/>
              <w:bCs/>
              <w:iCs/>
              <w:color w:val="auto"/>
              <w:sz w:val="20"/>
              <w:szCs w:val="22"/>
            </w:rPr>
            <w:t xml:space="preserve">The </w:t>
          </w:r>
          <w:r>
            <w:rPr>
              <w:b/>
              <w:bCs/>
              <w:iCs/>
              <w:color w:val="auto"/>
              <w:sz w:val="20"/>
              <w:szCs w:val="22"/>
            </w:rPr>
            <w:t xml:space="preserve">level </w:t>
          </w:r>
          <w:r w:rsidRPr="005F6EE6">
            <w:rPr>
              <w:b/>
              <w:bCs/>
              <w:iCs/>
              <w:color w:val="auto"/>
              <w:sz w:val="20"/>
              <w:szCs w:val="22"/>
            </w:rPr>
            <w:t xml:space="preserve">of loose smut control (%) </w:t>
          </w:r>
          <w:r w:rsidR="00A94E90">
            <w:rPr>
              <w:b/>
              <w:bCs/>
              <w:iCs/>
              <w:color w:val="auto"/>
              <w:sz w:val="20"/>
              <w:szCs w:val="22"/>
            </w:rPr>
            <w:t xml:space="preserve">in </w:t>
          </w:r>
          <w:r w:rsidRPr="005F6EE6">
            <w:rPr>
              <w:b/>
              <w:bCs/>
              <w:iCs/>
              <w:color w:val="auto"/>
              <w:sz w:val="20"/>
              <w:szCs w:val="22"/>
            </w:rPr>
            <w:t xml:space="preserve">Bayer trials at Regan's Ford and Wubin </w:t>
          </w:r>
          <w:r>
            <w:rPr>
              <w:b/>
              <w:bCs/>
              <w:iCs/>
              <w:color w:val="auto"/>
              <w:sz w:val="20"/>
              <w:szCs w:val="22"/>
            </w:rPr>
            <w:t xml:space="preserve">in 2013 </w:t>
          </w:r>
          <w:r w:rsidRPr="005F6EE6">
            <w:rPr>
              <w:b/>
              <w:bCs/>
              <w:iCs/>
              <w:color w:val="auto"/>
              <w:sz w:val="20"/>
              <w:szCs w:val="22"/>
            </w:rPr>
            <w:t xml:space="preserve">where </w:t>
          </w:r>
          <w:r w:rsidRPr="005F6EE6">
            <w:rPr>
              <w:b/>
              <w:sz w:val="20"/>
            </w:rPr>
            <w:t xml:space="preserve">the </w:t>
          </w:r>
          <w:r>
            <w:rPr>
              <w:b/>
              <w:bCs/>
              <w:iCs/>
              <w:color w:val="auto"/>
              <w:sz w:val="20"/>
              <w:szCs w:val="22"/>
            </w:rPr>
            <w:t xml:space="preserve">loose smut </w:t>
          </w:r>
          <w:r>
            <w:rPr>
              <w:b/>
              <w:bCs/>
              <w:iCs/>
              <w:sz w:val="20"/>
            </w:rPr>
            <w:t>levels</w:t>
          </w:r>
          <w:r>
            <w:rPr>
              <w:b/>
              <w:bCs/>
              <w:iCs/>
              <w:color w:val="auto"/>
              <w:sz w:val="20"/>
              <w:szCs w:val="22"/>
            </w:rPr>
            <w:t xml:space="preserve"> of untreated controls</w:t>
          </w:r>
          <w:r w:rsidRPr="005F6EE6">
            <w:rPr>
              <w:b/>
              <w:bCs/>
              <w:iCs/>
              <w:color w:val="auto"/>
              <w:sz w:val="20"/>
              <w:szCs w:val="22"/>
            </w:rPr>
            <w:t xml:space="preserve"> in 2013 w</w:t>
          </w:r>
          <w:r>
            <w:rPr>
              <w:b/>
              <w:bCs/>
              <w:iCs/>
              <w:color w:val="auto"/>
              <w:sz w:val="20"/>
              <w:szCs w:val="22"/>
            </w:rPr>
            <w:t>ere</w:t>
          </w:r>
          <w:r w:rsidRPr="005F6EE6">
            <w:rPr>
              <w:b/>
              <w:bCs/>
              <w:iCs/>
              <w:color w:val="auto"/>
              <w:sz w:val="20"/>
              <w:szCs w:val="22"/>
            </w:rPr>
            <w:t xml:space="preserve"> </w:t>
          </w:r>
          <w:r w:rsidRPr="006D0CA2">
            <w:rPr>
              <w:b/>
              <w:bCs/>
              <w:iCs/>
              <w:color w:val="000000" w:themeColor="text1"/>
              <w:sz w:val="20"/>
              <w:szCs w:val="22"/>
            </w:rPr>
            <w:t>4</w:t>
          </w:r>
          <w:r>
            <w:rPr>
              <w:b/>
              <w:bCs/>
              <w:iCs/>
              <w:color w:val="000000" w:themeColor="text1"/>
              <w:sz w:val="20"/>
              <w:szCs w:val="22"/>
            </w:rPr>
            <w:t>.0</w:t>
          </w:r>
          <w:r w:rsidRPr="006D0CA2">
            <w:rPr>
              <w:b/>
              <w:bCs/>
              <w:iCs/>
              <w:color w:val="000000" w:themeColor="text1"/>
              <w:sz w:val="20"/>
              <w:szCs w:val="22"/>
            </w:rPr>
            <w:t>% and 2.8</w:t>
          </w:r>
          <w:r w:rsidRPr="005F6EE6">
            <w:rPr>
              <w:b/>
              <w:bCs/>
              <w:iCs/>
              <w:color w:val="auto"/>
              <w:sz w:val="20"/>
              <w:szCs w:val="22"/>
            </w:rPr>
            <w:t>% respectively.</w:t>
          </w:r>
          <w:proofErr w:type="gramEnd"/>
          <w:r w:rsidRPr="005F6EE6">
            <w:rPr>
              <w:b/>
              <w:bCs/>
              <w:iCs/>
              <w:color w:val="auto"/>
              <w:sz w:val="20"/>
              <w:szCs w:val="22"/>
            </w:rPr>
            <w:t xml:space="preserve"> </w:t>
          </w:r>
          <w:r w:rsidRPr="00DD3732">
            <w:rPr>
              <w:bCs/>
              <w:iCs/>
              <w:color w:val="auto"/>
              <w:sz w:val="20"/>
              <w:szCs w:val="22"/>
            </w:rPr>
            <w:t>Different letters indicate a statistically different level of effectiveness and all treatments were significantly better than nil.</w:t>
          </w:r>
          <w:r>
            <w:rPr>
              <w:bCs/>
              <w:iCs/>
              <w:color w:val="auto"/>
              <w:sz w:val="20"/>
              <w:szCs w:val="22"/>
            </w:rPr>
            <w:t xml:space="preserve"> </w:t>
          </w:r>
          <w:r w:rsidR="00A94E90">
            <w:rPr>
              <w:bCs/>
              <w:iCs/>
              <w:color w:val="auto"/>
              <w:sz w:val="20"/>
              <w:szCs w:val="22"/>
            </w:rPr>
            <w:t>Prices were current 2013.</w:t>
          </w:r>
        </w:p>
        <w:p w:rsidR="00B830AA" w:rsidRDefault="00B830AA" w:rsidP="00EB41B5">
          <w:pPr>
            <w:pStyle w:val="Default"/>
            <w:spacing w:before="120"/>
            <w:rPr>
              <w:bCs/>
              <w:iCs/>
              <w:color w:val="auto"/>
              <w:sz w:val="20"/>
              <w:szCs w:val="22"/>
            </w:rPr>
          </w:pPr>
        </w:p>
        <w:tbl>
          <w:tblPr>
            <w:tblStyle w:val="TableGrid"/>
            <w:tblW w:w="0" w:type="auto"/>
            <w:tblLook w:val="04A0" w:firstRow="1" w:lastRow="0" w:firstColumn="1" w:lastColumn="0" w:noHBand="0" w:noVBand="1"/>
            <w:tblCaption w:val="The level of loose smut control (%) Bayer trials at Regan's Ford and Wubin in 201"/>
            <w:tblDescription w:val="The level of loose smut control (%) Bayer trials at Regan's Ford and Wubin in 2013 where the loose smut levels of untreated controls in 2013 were 4.0% and 2.8% respectively. Different letters indicate a statistically different level of effectiveness and all treatments were significantly better than nil. "/>
          </w:tblPr>
          <w:tblGrid>
            <w:gridCol w:w="1848"/>
            <w:gridCol w:w="1848"/>
            <w:gridCol w:w="1848"/>
            <w:gridCol w:w="1849"/>
            <w:gridCol w:w="1849"/>
          </w:tblGrid>
          <w:tr w:rsidR="00EB41B5" w:rsidRPr="00EB41B5" w:rsidTr="00EB41B5">
            <w:trPr>
              <w:cnfStyle w:val="100000000000" w:firstRow="1" w:lastRow="0" w:firstColumn="0" w:lastColumn="0" w:oddVBand="0" w:evenVBand="0" w:oddHBand="0" w:evenHBand="0" w:firstRowFirstColumn="0" w:firstRowLastColumn="0" w:lastRowFirstColumn="0" w:lastRowLastColumn="0"/>
            </w:trPr>
            <w:tc>
              <w:tcPr>
                <w:tcW w:w="1848" w:type="dxa"/>
              </w:tcPr>
              <w:p w:rsidR="00EB41B5" w:rsidRPr="00EB41B5" w:rsidRDefault="00EB41B5" w:rsidP="00EB41B5">
                <w:pPr>
                  <w:pStyle w:val="Default"/>
                  <w:spacing w:before="120"/>
                  <w:rPr>
                    <w:bCs/>
                    <w:iCs/>
                    <w:color w:val="FFFFFF" w:themeColor="background1"/>
                    <w:sz w:val="20"/>
                    <w:szCs w:val="22"/>
                  </w:rPr>
                </w:pPr>
                <w:r>
                  <w:rPr>
                    <w:bCs/>
                    <w:iCs/>
                    <w:color w:val="FFFFFF" w:themeColor="background1"/>
                    <w:sz w:val="20"/>
                    <w:szCs w:val="22"/>
                  </w:rPr>
                  <w:t>Product name</w:t>
                </w:r>
              </w:p>
            </w:tc>
            <w:tc>
              <w:tcPr>
                <w:tcW w:w="1848" w:type="dxa"/>
              </w:tcPr>
              <w:p w:rsidR="00EB41B5" w:rsidRPr="00EB41B5" w:rsidRDefault="001869AC" w:rsidP="00A94E90">
                <w:pPr>
                  <w:pStyle w:val="Default"/>
                  <w:spacing w:before="120"/>
                  <w:jc w:val="center"/>
                  <w:rPr>
                    <w:bCs/>
                    <w:iCs/>
                    <w:color w:val="FFFFFF" w:themeColor="background1"/>
                    <w:sz w:val="20"/>
                    <w:szCs w:val="22"/>
                  </w:rPr>
                </w:pPr>
                <w:r>
                  <w:rPr>
                    <w:bCs/>
                    <w:iCs/>
                    <w:color w:val="FFFFFF" w:themeColor="background1"/>
                    <w:sz w:val="20"/>
                    <w:szCs w:val="22"/>
                  </w:rPr>
                  <w:t>Rate applied / tonne seed</w:t>
                </w:r>
              </w:p>
            </w:tc>
            <w:tc>
              <w:tcPr>
                <w:tcW w:w="1848" w:type="dxa"/>
              </w:tcPr>
              <w:p w:rsidR="00EB41B5" w:rsidRPr="00EB41B5" w:rsidRDefault="001869AC" w:rsidP="00A94E90">
                <w:pPr>
                  <w:pStyle w:val="Default"/>
                  <w:spacing w:before="120"/>
                  <w:jc w:val="center"/>
                  <w:rPr>
                    <w:bCs/>
                    <w:iCs/>
                    <w:color w:val="FFFFFF" w:themeColor="background1"/>
                    <w:sz w:val="20"/>
                    <w:szCs w:val="22"/>
                  </w:rPr>
                </w:pPr>
                <w:r w:rsidRPr="001869AC">
                  <w:rPr>
                    <w:bCs/>
                    <w:color w:val="FFFFFF" w:themeColor="background1"/>
                    <w:sz w:val="20"/>
                    <w:szCs w:val="20"/>
                  </w:rPr>
                  <w:t>Cost to treat 70 kg/ha seed ($)</w:t>
                </w:r>
              </w:p>
            </w:tc>
            <w:tc>
              <w:tcPr>
                <w:tcW w:w="1849" w:type="dxa"/>
              </w:tcPr>
              <w:p w:rsidR="00EB41B5" w:rsidRPr="00EB41B5" w:rsidRDefault="00B830AA" w:rsidP="00A94E90">
                <w:pPr>
                  <w:pStyle w:val="Default"/>
                  <w:spacing w:before="120"/>
                  <w:jc w:val="center"/>
                  <w:rPr>
                    <w:bCs/>
                    <w:iCs/>
                    <w:color w:val="FFFFFF" w:themeColor="background1"/>
                    <w:sz w:val="20"/>
                    <w:szCs w:val="22"/>
                  </w:rPr>
                </w:pPr>
                <w:r>
                  <w:rPr>
                    <w:bCs/>
                    <w:iCs/>
                    <w:color w:val="FFFFFF" w:themeColor="background1"/>
                    <w:sz w:val="20"/>
                    <w:szCs w:val="22"/>
                  </w:rPr>
                  <w:t xml:space="preserve">Smut (% controlled) </w:t>
                </w:r>
                <w:proofErr w:type="spellStart"/>
                <w:r>
                  <w:rPr>
                    <w:bCs/>
                    <w:iCs/>
                    <w:color w:val="FFFFFF" w:themeColor="background1"/>
                    <w:sz w:val="20"/>
                    <w:szCs w:val="22"/>
                  </w:rPr>
                  <w:t>Regans</w:t>
                </w:r>
                <w:proofErr w:type="spellEnd"/>
                <w:r>
                  <w:rPr>
                    <w:bCs/>
                    <w:iCs/>
                    <w:color w:val="FFFFFF" w:themeColor="background1"/>
                    <w:sz w:val="20"/>
                    <w:szCs w:val="22"/>
                  </w:rPr>
                  <w:t xml:space="preserve"> Ford</w:t>
                </w:r>
              </w:p>
            </w:tc>
            <w:tc>
              <w:tcPr>
                <w:tcW w:w="1849" w:type="dxa"/>
              </w:tcPr>
              <w:p w:rsidR="00EB41B5" w:rsidRPr="00EB41B5" w:rsidRDefault="00B830AA" w:rsidP="00A94E90">
                <w:pPr>
                  <w:pStyle w:val="Default"/>
                  <w:spacing w:before="120"/>
                  <w:jc w:val="center"/>
                  <w:rPr>
                    <w:bCs/>
                    <w:iCs/>
                    <w:color w:val="FFFFFF" w:themeColor="background1"/>
                    <w:sz w:val="20"/>
                    <w:szCs w:val="22"/>
                  </w:rPr>
                </w:pPr>
                <w:r>
                  <w:rPr>
                    <w:bCs/>
                    <w:iCs/>
                    <w:color w:val="FFFFFF" w:themeColor="background1"/>
                    <w:sz w:val="20"/>
                    <w:szCs w:val="22"/>
                  </w:rPr>
                  <w:t>Smut (% controlled) Wubin</w:t>
                </w:r>
              </w:p>
            </w:tc>
          </w:tr>
          <w:tr w:rsidR="00B830AA" w:rsidTr="00B17120">
            <w:tc>
              <w:tcPr>
                <w:tcW w:w="1848" w:type="dxa"/>
                <w:vAlign w:val="bottom"/>
              </w:tcPr>
              <w:p w:rsidR="00B830AA" w:rsidRPr="00F77534" w:rsidRDefault="00B830AA" w:rsidP="005E23AC">
                <w:pPr>
                  <w:rPr>
                    <w:rFonts w:eastAsia="Times New Roman"/>
                    <w:color w:val="000000"/>
                    <w:sz w:val="18"/>
                    <w:szCs w:val="18"/>
                    <w:lang w:eastAsia="en-AU"/>
                  </w:rPr>
                </w:pPr>
                <w:proofErr w:type="spellStart"/>
                <w:r w:rsidRPr="00F77534">
                  <w:rPr>
                    <w:rFonts w:eastAsia="Times New Roman"/>
                    <w:color w:val="000000"/>
                    <w:sz w:val="18"/>
                    <w:szCs w:val="18"/>
                    <w:lang w:eastAsia="en-AU"/>
                  </w:rPr>
                  <w:t>EverGol</w:t>
                </w:r>
                <w:proofErr w:type="spellEnd"/>
                <w:r>
                  <w:rPr>
                    <w:rFonts w:eastAsia="Times New Roman"/>
                    <w:color w:val="000000"/>
                    <w:sz w:val="18"/>
                    <w:szCs w:val="18"/>
                    <w:lang w:eastAsia="en-AU"/>
                  </w:rPr>
                  <w:t>®</w:t>
                </w:r>
                <w:r w:rsidRPr="00F77534">
                  <w:rPr>
                    <w:rFonts w:eastAsia="Times New Roman"/>
                    <w:color w:val="000000"/>
                    <w:sz w:val="18"/>
                    <w:szCs w:val="18"/>
                    <w:lang w:eastAsia="en-AU"/>
                  </w:rPr>
                  <w:t xml:space="preserve"> Prime</w:t>
                </w:r>
              </w:p>
            </w:tc>
            <w:tc>
              <w:tcPr>
                <w:tcW w:w="1848" w:type="dxa"/>
                <w:vAlign w:val="bottom"/>
              </w:tcPr>
              <w:p w:rsidR="00B830AA" w:rsidRPr="00F77534" w:rsidRDefault="00B830AA" w:rsidP="005E23AC">
                <w:pPr>
                  <w:jc w:val="center"/>
                  <w:rPr>
                    <w:rFonts w:eastAsia="Times New Roman"/>
                    <w:sz w:val="20"/>
                    <w:szCs w:val="20"/>
                    <w:lang w:eastAsia="en-AU"/>
                  </w:rPr>
                </w:pPr>
                <w:r w:rsidRPr="00F77534">
                  <w:rPr>
                    <w:rFonts w:eastAsia="Times New Roman"/>
                    <w:sz w:val="20"/>
                    <w:szCs w:val="20"/>
                    <w:lang w:eastAsia="en-AU"/>
                  </w:rPr>
                  <w:t>400</w:t>
                </w:r>
                <w:r>
                  <w:rPr>
                    <w:rFonts w:eastAsia="Times New Roman"/>
                    <w:sz w:val="20"/>
                    <w:szCs w:val="20"/>
                    <w:lang w:eastAsia="en-AU"/>
                  </w:rPr>
                  <w:t xml:space="preserve"> </w:t>
                </w:r>
                <w:r w:rsidRPr="00F77534">
                  <w:rPr>
                    <w:rFonts w:eastAsia="Times New Roman"/>
                    <w:sz w:val="20"/>
                    <w:szCs w:val="20"/>
                    <w:lang w:eastAsia="en-AU"/>
                  </w:rPr>
                  <w:t>mL</w:t>
                </w:r>
              </w:p>
            </w:tc>
            <w:tc>
              <w:tcPr>
                <w:tcW w:w="1848" w:type="dxa"/>
                <w:vAlign w:val="bottom"/>
              </w:tcPr>
              <w:p w:rsidR="00B830AA" w:rsidRPr="00F77534" w:rsidRDefault="00B830AA" w:rsidP="005E23AC">
                <w:pPr>
                  <w:jc w:val="center"/>
                  <w:rPr>
                    <w:rFonts w:eastAsia="Times New Roman"/>
                    <w:sz w:val="20"/>
                    <w:szCs w:val="20"/>
                    <w:lang w:eastAsia="en-AU"/>
                  </w:rPr>
                </w:pPr>
                <w:r w:rsidRPr="00F77534">
                  <w:rPr>
                    <w:rFonts w:eastAsia="Times New Roman"/>
                    <w:sz w:val="20"/>
                    <w:szCs w:val="20"/>
                    <w:lang w:eastAsia="en-AU"/>
                  </w:rPr>
                  <w:t>4.01</w:t>
                </w:r>
              </w:p>
            </w:tc>
            <w:tc>
              <w:tcPr>
                <w:tcW w:w="1849" w:type="dxa"/>
                <w:vAlign w:val="bottom"/>
              </w:tcPr>
              <w:p w:rsidR="00B830AA" w:rsidRPr="00F77534" w:rsidRDefault="00B830AA" w:rsidP="005E23AC">
                <w:pPr>
                  <w:jc w:val="center"/>
                  <w:rPr>
                    <w:rFonts w:eastAsia="Times New Roman"/>
                    <w:color w:val="000000"/>
                    <w:sz w:val="18"/>
                    <w:szCs w:val="18"/>
                    <w:lang w:eastAsia="en-AU"/>
                  </w:rPr>
                </w:pPr>
                <w:r w:rsidRPr="00F77534">
                  <w:rPr>
                    <w:rFonts w:eastAsia="Times New Roman"/>
                    <w:color w:val="000000"/>
                    <w:sz w:val="18"/>
                    <w:szCs w:val="18"/>
                    <w:lang w:eastAsia="en-AU"/>
                  </w:rPr>
                  <w:t>100%</w:t>
                </w:r>
                <w:r>
                  <w:rPr>
                    <w:rFonts w:eastAsia="Times New Roman"/>
                    <w:color w:val="000000"/>
                    <w:sz w:val="18"/>
                    <w:szCs w:val="18"/>
                    <w:lang w:eastAsia="en-AU"/>
                  </w:rPr>
                  <w:t xml:space="preserve"> a</w:t>
                </w:r>
              </w:p>
            </w:tc>
            <w:tc>
              <w:tcPr>
                <w:tcW w:w="1849" w:type="dxa"/>
                <w:vAlign w:val="bottom"/>
              </w:tcPr>
              <w:p w:rsidR="00B830AA" w:rsidRPr="00F77534" w:rsidRDefault="00B830AA" w:rsidP="005E23AC">
                <w:pPr>
                  <w:jc w:val="center"/>
                  <w:rPr>
                    <w:rFonts w:eastAsia="Times New Roman"/>
                    <w:color w:val="000000"/>
                    <w:sz w:val="18"/>
                    <w:szCs w:val="18"/>
                    <w:lang w:eastAsia="en-AU"/>
                  </w:rPr>
                </w:pPr>
                <w:r w:rsidRPr="00F77534">
                  <w:rPr>
                    <w:rFonts w:eastAsia="Times New Roman"/>
                    <w:color w:val="000000"/>
                    <w:sz w:val="18"/>
                    <w:szCs w:val="18"/>
                    <w:lang w:eastAsia="en-AU"/>
                  </w:rPr>
                  <w:t>97%</w:t>
                </w:r>
                <w:r>
                  <w:rPr>
                    <w:rFonts w:eastAsia="Times New Roman"/>
                    <w:color w:val="000000"/>
                    <w:sz w:val="18"/>
                    <w:szCs w:val="18"/>
                    <w:lang w:eastAsia="en-AU"/>
                  </w:rPr>
                  <w:t xml:space="preserve"> a</w:t>
                </w:r>
              </w:p>
            </w:tc>
          </w:tr>
          <w:tr w:rsidR="00B830AA" w:rsidTr="00B17120">
            <w:tc>
              <w:tcPr>
                <w:tcW w:w="1848" w:type="dxa"/>
                <w:vAlign w:val="bottom"/>
              </w:tcPr>
              <w:p w:rsidR="00B830AA" w:rsidRPr="00F77534" w:rsidRDefault="00B830AA" w:rsidP="005E23AC">
                <w:pPr>
                  <w:rPr>
                    <w:rFonts w:eastAsia="Times New Roman"/>
                    <w:color w:val="000000"/>
                    <w:sz w:val="18"/>
                    <w:szCs w:val="18"/>
                    <w:lang w:eastAsia="en-AU"/>
                  </w:rPr>
                </w:pPr>
                <w:proofErr w:type="spellStart"/>
                <w:r w:rsidRPr="00F77534">
                  <w:rPr>
                    <w:rFonts w:eastAsia="Times New Roman"/>
                    <w:color w:val="000000"/>
                    <w:sz w:val="18"/>
                    <w:szCs w:val="18"/>
                    <w:lang w:eastAsia="en-AU"/>
                  </w:rPr>
                  <w:t>Vibrance</w:t>
                </w:r>
                <w:proofErr w:type="spellEnd"/>
                <w:r>
                  <w:rPr>
                    <w:rFonts w:eastAsia="Times New Roman"/>
                    <w:color w:val="000000"/>
                    <w:sz w:val="18"/>
                    <w:szCs w:val="18"/>
                    <w:lang w:eastAsia="en-AU"/>
                  </w:rPr>
                  <w:t>®</w:t>
                </w:r>
              </w:p>
            </w:tc>
            <w:tc>
              <w:tcPr>
                <w:tcW w:w="1848" w:type="dxa"/>
                <w:vAlign w:val="bottom"/>
              </w:tcPr>
              <w:p w:rsidR="00B830AA" w:rsidRPr="00F77534" w:rsidRDefault="00B830AA" w:rsidP="005E23AC">
                <w:pPr>
                  <w:jc w:val="center"/>
                  <w:rPr>
                    <w:rFonts w:eastAsia="Times New Roman"/>
                    <w:sz w:val="20"/>
                    <w:szCs w:val="20"/>
                    <w:lang w:eastAsia="en-AU"/>
                  </w:rPr>
                </w:pPr>
                <w:r w:rsidRPr="00F77534">
                  <w:rPr>
                    <w:rFonts w:eastAsia="Times New Roman"/>
                    <w:sz w:val="20"/>
                    <w:szCs w:val="20"/>
                    <w:lang w:eastAsia="en-AU"/>
                  </w:rPr>
                  <w:t>1.8 L</w:t>
                </w:r>
              </w:p>
            </w:tc>
            <w:tc>
              <w:tcPr>
                <w:tcW w:w="1848" w:type="dxa"/>
                <w:vAlign w:val="bottom"/>
              </w:tcPr>
              <w:p w:rsidR="00B830AA" w:rsidRPr="00F77534" w:rsidRDefault="00B830AA" w:rsidP="005E23AC">
                <w:pPr>
                  <w:jc w:val="center"/>
                  <w:rPr>
                    <w:rFonts w:eastAsia="Times New Roman"/>
                    <w:sz w:val="20"/>
                    <w:szCs w:val="20"/>
                    <w:lang w:eastAsia="en-AU"/>
                  </w:rPr>
                </w:pPr>
                <w:r w:rsidRPr="00F77534">
                  <w:rPr>
                    <w:rFonts w:eastAsia="Times New Roman"/>
                    <w:sz w:val="20"/>
                    <w:szCs w:val="20"/>
                    <w:lang w:eastAsia="en-AU"/>
                  </w:rPr>
                  <w:t>3.74</w:t>
                </w:r>
              </w:p>
            </w:tc>
            <w:tc>
              <w:tcPr>
                <w:tcW w:w="1849" w:type="dxa"/>
                <w:vAlign w:val="bottom"/>
              </w:tcPr>
              <w:p w:rsidR="00B830AA" w:rsidRPr="00F77534" w:rsidRDefault="00B830AA" w:rsidP="005E23AC">
                <w:pPr>
                  <w:jc w:val="center"/>
                  <w:rPr>
                    <w:rFonts w:eastAsia="Times New Roman"/>
                    <w:color w:val="000000"/>
                    <w:sz w:val="18"/>
                    <w:szCs w:val="18"/>
                    <w:lang w:eastAsia="en-AU"/>
                  </w:rPr>
                </w:pPr>
                <w:r w:rsidRPr="00F77534">
                  <w:rPr>
                    <w:rFonts w:eastAsia="Times New Roman"/>
                    <w:color w:val="000000"/>
                    <w:sz w:val="18"/>
                    <w:szCs w:val="18"/>
                    <w:lang w:eastAsia="en-AU"/>
                  </w:rPr>
                  <w:t>97%</w:t>
                </w:r>
                <w:r>
                  <w:rPr>
                    <w:rFonts w:eastAsia="Times New Roman"/>
                    <w:color w:val="000000"/>
                    <w:sz w:val="18"/>
                    <w:szCs w:val="18"/>
                    <w:lang w:eastAsia="en-AU"/>
                  </w:rPr>
                  <w:t xml:space="preserve"> a</w:t>
                </w:r>
              </w:p>
            </w:tc>
            <w:tc>
              <w:tcPr>
                <w:tcW w:w="1849" w:type="dxa"/>
                <w:vAlign w:val="bottom"/>
              </w:tcPr>
              <w:p w:rsidR="00B830AA" w:rsidRPr="00F77534" w:rsidRDefault="00B830AA" w:rsidP="005E23AC">
                <w:pPr>
                  <w:jc w:val="center"/>
                  <w:rPr>
                    <w:rFonts w:eastAsia="Times New Roman"/>
                    <w:color w:val="000000"/>
                    <w:sz w:val="18"/>
                    <w:szCs w:val="18"/>
                    <w:lang w:eastAsia="en-AU"/>
                  </w:rPr>
                </w:pPr>
                <w:r w:rsidRPr="00F77534">
                  <w:rPr>
                    <w:rFonts w:eastAsia="Times New Roman"/>
                    <w:color w:val="000000"/>
                    <w:sz w:val="18"/>
                    <w:szCs w:val="18"/>
                    <w:lang w:eastAsia="en-AU"/>
                  </w:rPr>
                  <w:t>86%</w:t>
                </w:r>
                <w:r>
                  <w:rPr>
                    <w:rFonts w:eastAsia="Times New Roman"/>
                    <w:color w:val="000000"/>
                    <w:sz w:val="18"/>
                    <w:szCs w:val="18"/>
                    <w:lang w:eastAsia="en-AU"/>
                  </w:rPr>
                  <w:t xml:space="preserve"> a</w:t>
                </w:r>
              </w:p>
            </w:tc>
          </w:tr>
          <w:tr w:rsidR="00B830AA" w:rsidTr="00B17120">
            <w:tc>
              <w:tcPr>
                <w:tcW w:w="1848" w:type="dxa"/>
                <w:vAlign w:val="bottom"/>
              </w:tcPr>
              <w:p w:rsidR="00B830AA" w:rsidRPr="00F77534" w:rsidRDefault="00B830AA" w:rsidP="005E23AC">
                <w:pPr>
                  <w:rPr>
                    <w:rFonts w:eastAsia="Times New Roman"/>
                    <w:color w:val="000000"/>
                    <w:sz w:val="18"/>
                    <w:szCs w:val="18"/>
                    <w:lang w:eastAsia="en-AU"/>
                  </w:rPr>
                </w:pPr>
                <w:proofErr w:type="spellStart"/>
                <w:r w:rsidRPr="00F77534">
                  <w:rPr>
                    <w:rFonts w:eastAsia="Times New Roman"/>
                    <w:color w:val="000000"/>
                    <w:sz w:val="18"/>
                    <w:szCs w:val="18"/>
                    <w:lang w:eastAsia="en-AU"/>
                  </w:rPr>
                  <w:t>Baytan</w:t>
                </w:r>
                <w:proofErr w:type="spellEnd"/>
                <w:r>
                  <w:rPr>
                    <w:rFonts w:eastAsia="Times New Roman"/>
                    <w:color w:val="000000"/>
                    <w:sz w:val="18"/>
                    <w:szCs w:val="18"/>
                    <w:lang w:eastAsia="en-AU"/>
                  </w:rPr>
                  <w:t>®</w:t>
                </w:r>
                <w:r w:rsidRPr="00F77534">
                  <w:rPr>
                    <w:rFonts w:eastAsia="Times New Roman"/>
                    <w:color w:val="000000"/>
                    <w:sz w:val="18"/>
                    <w:szCs w:val="18"/>
                    <w:lang w:eastAsia="en-AU"/>
                  </w:rPr>
                  <w:t xml:space="preserve"> T</w:t>
                </w:r>
              </w:p>
            </w:tc>
            <w:tc>
              <w:tcPr>
                <w:tcW w:w="1848" w:type="dxa"/>
                <w:vAlign w:val="bottom"/>
              </w:tcPr>
              <w:p w:rsidR="00B830AA" w:rsidRPr="00F77534" w:rsidRDefault="00B830AA" w:rsidP="005E23AC">
                <w:pPr>
                  <w:jc w:val="center"/>
                  <w:rPr>
                    <w:rFonts w:eastAsia="Times New Roman"/>
                    <w:sz w:val="20"/>
                    <w:szCs w:val="20"/>
                    <w:lang w:eastAsia="en-AU"/>
                  </w:rPr>
                </w:pPr>
                <w:r w:rsidRPr="00F77534">
                  <w:rPr>
                    <w:rFonts w:eastAsia="Times New Roman"/>
                    <w:sz w:val="20"/>
                    <w:szCs w:val="20"/>
                    <w:lang w:eastAsia="en-AU"/>
                  </w:rPr>
                  <w:t>1 L</w:t>
                </w:r>
              </w:p>
            </w:tc>
            <w:tc>
              <w:tcPr>
                <w:tcW w:w="1848" w:type="dxa"/>
                <w:vAlign w:val="bottom"/>
              </w:tcPr>
              <w:p w:rsidR="00B830AA" w:rsidRPr="00F77534" w:rsidRDefault="00B830AA" w:rsidP="005E23AC">
                <w:pPr>
                  <w:jc w:val="center"/>
                  <w:rPr>
                    <w:rFonts w:eastAsia="Times New Roman"/>
                    <w:sz w:val="20"/>
                    <w:szCs w:val="20"/>
                    <w:lang w:eastAsia="en-AU"/>
                  </w:rPr>
                </w:pPr>
                <w:r w:rsidRPr="00F77534">
                  <w:rPr>
                    <w:rFonts w:eastAsia="Times New Roman"/>
                    <w:sz w:val="20"/>
                    <w:szCs w:val="20"/>
                    <w:lang w:eastAsia="en-AU"/>
                  </w:rPr>
                  <w:t>3.05</w:t>
                </w:r>
              </w:p>
            </w:tc>
            <w:tc>
              <w:tcPr>
                <w:tcW w:w="1849" w:type="dxa"/>
                <w:vAlign w:val="bottom"/>
              </w:tcPr>
              <w:p w:rsidR="00B830AA" w:rsidRPr="00F77534" w:rsidRDefault="00B830AA" w:rsidP="005E23AC">
                <w:pPr>
                  <w:jc w:val="center"/>
                  <w:rPr>
                    <w:rFonts w:eastAsia="Times New Roman"/>
                    <w:color w:val="000000"/>
                    <w:sz w:val="18"/>
                    <w:szCs w:val="18"/>
                    <w:lang w:eastAsia="en-AU"/>
                  </w:rPr>
                </w:pPr>
                <w:r w:rsidRPr="00F77534">
                  <w:rPr>
                    <w:rFonts w:eastAsia="Times New Roman"/>
                    <w:color w:val="000000"/>
                    <w:sz w:val="18"/>
                    <w:szCs w:val="18"/>
                    <w:lang w:eastAsia="en-AU"/>
                  </w:rPr>
                  <w:t>75%</w:t>
                </w:r>
                <w:r>
                  <w:rPr>
                    <w:rFonts w:eastAsia="Times New Roman"/>
                    <w:color w:val="000000"/>
                    <w:sz w:val="18"/>
                    <w:szCs w:val="18"/>
                    <w:lang w:eastAsia="en-AU"/>
                  </w:rPr>
                  <w:t xml:space="preserve"> b</w:t>
                </w:r>
              </w:p>
            </w:tc>
            <w:tc>
              <w:tcPr>
                <w:tcW w:w="1849" w:type="dxa"/>
                <w:vAlign w:val="bottom"/>
              </w:tcPr>
              <w:p w:rsidR="00B830AA" w:rsidRPr="00F77534" w:rsidRDefault="00B830AA" w:rsidP="005E23AC">
                <w:pPr>
                  <w:jc w:val="center"/>
                  <w:rPr>
                    <w:rFonts w:eastAsia="Times New Roman"/>
                    <w:color w:val="000000"/>
                    <w:sz w:val="18"/>
                    <w:szCs w:val="18"/>
                    <w:lang w:eastAsia="en-AU"/>
                  </w:rPr>
                </w:pPr>
                <w:r w:rsidRPr="00F77534">
                  <w:rPr>
                    <w:rFonts w:eastAsia="Times New Roman"/>
                    <w:color w:val="000000"/>
                    <w:sz w:val="18"/>
                    <w:szCs w:val="18"/>
                    <w:lang w:eastAsia="en-AU"/>
                  </w:rPr>
                  <w:t>64%</w:t>
                </w:r>
                <w:r>
                  <w:rPr>
                    <w:rFonts w:eastAsia="Times New Roman"/>
                    <w:color w:val="000000"/>
                    <w:sz w:val="18"/>
                    <w:szCs w:val="18"/>
                    <w:lang w:eastAsia="en-AU"/>
                  </w:rPr>
                  <w:t xml:space="preserve"> b</w:t>
                </w:r>
              </w:p>
            </w:tc>
          </w:tr>
          <w:tr w:rsidR="00B830AA" w:rsidTr="00B17120">
            <w:tc>
              <w:tcPr>
                <w:tcW w:w="1848" w:type="dxa"/>
                <w:vAlign w:val="bottom"/>
              </w:tcPr>
              <w:p w:rsidR="00B830AA" w:rsidRPr="00F77534" w:rsidRDefault="00B830AA" w:rsidP="005E23AC">
                <w:pPr>
                  <w:rPr>
                    <w:rFonts w:eastAsia="Times New Roman"/>
                    <w:color w:val="000000"/>
                    <w:sz w:val="18"/>
                    <w:szCs w:val="18"/>
                    <w:lang w:eastAsia="en-AU"/>
                  </w:rPr>
                </w:pPr>
                <w:r w:rsidRPr="00F77534">
                  <w:rPr>
                    <w:rFonts w:eastAsia="Times New Roman"/>
                    <w:color w:val="000000"/>
                    <w:sz w:val="18"/>
                    <w:szCs w:val="18"/>
                    <w:lang w:eastAsia="en-AU"/>
                  </w:rPr>
                  <w:t>Tri-Power</w:t>
                </w:r>
                <w:r>
                  <w:rPr>
                    <w:rFonts w:eastAsia="Times New Roman"/>
                    <w:color w:val="000000"/>
                    <w:sz w:val="18"/>
                    <w:szCs w:val="18"/>
                    <w:lang w:eastAsia="en-AU"/>
                  </w:rPr>
                  <w:t>®</w:t>
                </w:r>
              </w:p>
            </w:tc>
            <w:tc>
              <w:tcPr>
                <w:tcW w:w="1848" w:type="dxa"/>
                <w:vAlign w:val="bottom"/>
              </w:tcPr>
              <w:p w:rsidR="00B830AA" w:rsidRPr="00F77534" w:rsidRDefault="00B830AA" w:rsidP="005E23AC">
                <w:pPr>
                  <w:jc w:val="center"/>
                  <w:rPr>
                    <w:rFonts w:eastAsia="Times New Roman"/>
                    <w:sz w:val="20"/>
                    <w:szCs w:val="20"/>
                    <w:lang w:eastAsia="en-AU"/>
                  </w:rPr>
                </w:pPr>
                <w:r w:rsidRPr="00F77534">
                  <w:rPr>
                    <w:rFonts w:eastAsia="Times New Roman"/>
                    <w:sz w:val="20"/>
                    <w:szCs w:val="20"/>
                    <w:lang w:eastAsia="en-AU"/>
                  </w:rPr>
                  <w:t xml:space="preserve">4 L </w:t>
                </w:r>
              </w:p>
            </w:tc>
            <w:tc>
              <w:tcPr>
                <w:tcW w:w="1848" w:type="dxa"/>
                <w:vAlign w:val="bottom"/>
              </w:tcPr>
              <w:p w:rsidR="00B830AA" w:rsidRPr="00F77534" w:rsidRDefault="00B830AA" w:rsidP="005E23AC">
                <w:pPr>
                  <w:jc w:val="center"/>
                  <w:rPr>
                    <w:rFonts w:eastAsia="Times New Roman"/>
                    <w:sz w:val="20"/>
                    <w:szCs w:val="20"/>
                    <w:lang w:eastAsia="en-AU"/>
                  </w:rPr>
                </w:pPr>
                <w:r w:rsidRPr="00F77534">
                  <w:rPr>
                    <w:rFonts w:eastAsia="Times New Roman"/>
                    <w:sz w:val="20"/>
                    <w:szCs w:val="20"/>
                    <w:lang w:eastAsia="en-AU"/>
                  </w:rPr>
                  <w:t>9.52</w:t>
                </w:r>
              </w:p>
            </w:tc>
            <w:tc>
              <w:tcPr>
                <w:tcW w:w="1849" w:type="dxa"/>
                <w:vAlign w:val="bottom"/>
              </w:tcPr>
              <w:p w:rsidR="00B830AA" w:rsidRPr="00F77534" w:rsidRDefault="00B830AA" w:rsidP="005E23AC">
                <w:pPr>
                  <w:jc w:val="center"/>
                  <w:rPr>
                    <w:rFonts w:eastAsia="Times New Roman"/>
                    <w:color w:val="000000"/>
                    <w:sz w:val="18"/>
                    <w:szCs w:val="18"/>
                    <w:lang w:eastAsia="en-AU"/>
                  </w:rPr>
                </w:pPr>
                <w:r w:rsidRPr="00F77534">
                  <w:rPr>
                    <w:rFonts w:eastAsia="Times New Roman"/>
                    <w:color w:val="000000"/>
                    <w:sz w:val="18"/>
                    <w:szCs w:val="18"/>
                    <w:lang w:eastAsia="en-AU"/>
                  </w:rPr>
                  <w:t>51%</w:t>
                </w:r>
                <w:r>
                  <w:rPr>
                    <w:rFonts w:eastAsia="Times New Roman"/>
                    <w:color w:val="000000"/>
                    <w:sz w:val="18"/>
                    <w:szCs w:val="18"/>
                    <w:lang w:eastAsia="en-AU"/>
                  </w:rPr>
                  <w:t xml:space="preserve"> c</w:t>
                </w:r>
              </w:p>
            </w:tc>
            <w:tc>
              <w:tcPr>
                <w:tcW w:w="1849" w:type="dxa"/>
                <w:vAlign w:val="bottom"/>
              </w:tcPr>
              <w:p w:rsidR="00B830AA" w:rsidRPr="00F77534" w:rsidRDefault="00B830AA" w:rsidP="005E23AC">
                <w:pPr>
                  <w:jc w:val="center"/>
                  <w:rPr>
                    <w:rFonts w:eastAsia="Times New Roman"/>
                    <w:color w:val="000000"/>
                    <w:sz w:val="18"/>
                    <w:szCs w:val="18"/>
                    <w:lang w:eastAsia="en-AU"/>
                  </w:rPr>
                </w:pPr>
                <w:r w:rsidRPr="00F77534">
                  <w:rPr>
                    <w:rFonts w:eastAsia="Times New Roman"/>
                    <w:color w:val="000000"/>
                    <w:sz w:val="18"/>
                    <w:szCs w:val="18"/>
                    <w:lang w:eastAsia="en-AU"/>
                  </w:rPr>
                  <w:t>44%</w:t>
                </w:r>
                <w:r>
                  <w:rPr>
                    <w:rFonts w:eastAsia="Times New Roman"/>
                    <w:color w:val="000000"/>
                    <w:sz w:val="18"/>
                    <w:szCs w:val="18"/>
                    <w:lang w:eastAsia="en-AU"/>
                  </w:rPr>
                  <w:t xml:space="preserve"> c</w:t>
                </w:r>
              </w:p>
            </w:tc>
          </w:tr>
        </w:tbl>
        <w:p w:rsidR="00EB41B5" w:rsidRDefault="00EB41B5" w:rsidP="00EB41B5">
          <w:pPr>
            <w:pStyle w:val="Default"/>
            <w:spacing w:before="120"/>
            <w:rPr>
              <w:bCs/>
              <w:iCs/>
              <w:color w:val="auto"/>
              <w:sz w:val="20"/>
              <w:szCs w:val="22"/>
            </w:rPr>
          </w:pPr>
        </w:p>
        <w:p w:rsidR="00EB41B5" w:rsidRDefault="00EB41B5" w:rsidP="00B830AA">
          <w:pPr>
            <w:pStyle w:val="Heading2"/>
          </w:pPr>
          <w:r>
            <w:t xml:space="preserve">Correct seed application is important </w:t>
          </w:r>
        </w:p>
        <w:p w:rsidR="00EB41B5" w:rsidRDefault="00EB41B5" w:rsidP="00EB41B5">
          <w:pPr>
            <w:spacing w:after="0" w:line="240" w:lineRule="auto"/>
          </w:pPr>
          <w:r>
            <w:t>Auger and applicator calibration are important as under and over treating seed is money wasted in addition to poor disease control (under-treated seed) or may reduce coleoptile lengths or cause other phytotoxic effects on the germinating seedling</w:t>
          </w:r>
          <w:r w:rsidRPr="00C65874">
            <w:t xml:space="preserve"> </w:t>
          </w:r>
          <w:r>
            <w:t>(over-treated seed). Three steps in the correct application of a seed dressing are:</w:t>
          </w:r>
        </w:p>
        <w:p w:rsidR="00EB41B5" w:rsidRDefault="00EB41B5" w:rsidP="00EB41B5">
          <w:pPr>
            <w:pStyle w:val="ListParagraph"/>
            <w:numPr>
              <w:ilvl w:val="0"/>
              <w:numId w:val="10"/>
            </w:numPr>
            <w:tabs>
              <w:tab w:val="left" w:pos="567"/>
            </w:tabs>
            <w:spacing w:before="120" w:after="120" w:line="240" w:lineRule="auto"/>
            <w:ind w:left="0" w:firstLine="0"/>
          </w:pPr>
          <w:r>
            <w:t>Calibrate your auger grain output.</w:t>
          </w:r>
        </w:p>
        <w:p w:rsidR="00B830AA" w:rsidRDefault="00B830AA" w:rsidP="00B830AA">
          <w:pPr>
            <w:pStyle w:val="ListParagraph"/>
            <w:numPr>
              <w:ilvl w:val="0"/>
              <w:numId w:val="0"/>
            </w:numPr>
            <w:tabs>
              <w:tab w:val="left" w:pos="567"/>
            </w:tabs>
            <w:spacing w:before="120" w:after="120" w:line="240" w:lineRule="auto"/>
          </w:pPr>
        </w:p>
        <w:p w:rsidR="00B830AA" w:rsidRDefault="00B830AA" w:rsidP="00B830AA">
          <w:pPr>
            <w:pStyle w:val="ListParagraph"/>
            <w:numPr>
              <w:ilvl w:val="0"/>
              <w:numId w:val="0"/>
            </w:numPr>
            <w:tabs>
              <w:tab w:val="left" w:pos="567"/>
            </w:tabs>
            <w:spacing w:before="120" w:after="120" w:line="240" w:lineRule="auto"/>
            <w:rPr>
              <w:u w:val="single"/>
            </w:rPr>
          </w:pPr>
          <w:r>
            <w:tab/>
            <w:t>Tonnes per hr =</w:t>
          </w:r>
          <w:r>
            <w:tab/>
          </w:r>
          <w:r w:rsidRPr="00B830AA">
            <w:rPr>
              <w:u w:val="single"/>
            </w:rPr>
            <w:t>Weight of sample (kg) x3.6</w:t>
          </w:r>
        </w:p>
        <w:p w:rsidR="00B830AA" w:rsidRPr="00B830AA" w:rsidRDefault="00B830AA" w:rsidP="00B830AA">
          <w:pPr>
            <w:pStyle w:val="ListParagraph"/>
            <w:numPr>
              <w:ilvl w:val="0"/>
              <w:numId w:val="0"/>
            </w:numPr>
            <w:tabs>
              <w:tab w:val="left" w:pos="567"/>
            </w:tabs>
            <w:spacing w:before="120" w:after="120" w:line="240" w:lineRule="auto"/>
          </w:pPr>
          <w:r>
            <w:tab/>
          </w:r>
          <w:r>
            <w:tab/>
          </w:r>
          <w:r>
            <w:tab/>
          </w:r>
          <w:r>
            <w:tab/>
          </w:r>
          <w:r>
            <w:tab/>
          </w:r>
          <w:r>
            <w:tab/>
            <w:t>Time (seconds)</w:t>
          </w:r>
        </w:p>
        <w:p w:rsidR="00B830AA" w:rsidRDefault="00EB41B5" w:rsidP="00B830AA">
          <w:pPr>
            <w:pStyle w:val="ListParagraph"/>
            <w:numPr>
              <w:ilvl w:val="0"/>
              <w:numId w:val="10"/>
            </w:numPr>
            <w:tabs>
              <w:tab w:val="left" w:pos="567"/>
            </w:tabs>
            <w:spacing w:before="120" w:after="120" w:line="240" w:lineRule="auto"/>
            <w:ind w:left="0" w:firstLine="0"/>
          </w:pPr>
          <w:r>
            <w:t>Use a constant auger flow rate during the dressing operation.</w:t>
          </w:r>
        </w:p>
        <w:p w:rsidR="00EB41B5" w:rsidRDefault="00EB41B5" w:rsidP="00B830AA">
          <w:pPr>
            <w:pStyle w:val="ListParagraph"/>
            <w:numPr>
              <w:ilvl w:val="0"/>
              <w:numId w:val="10"/>
            </w:numPr>
            <w:tabs>
              <w:tab w:val="left" w:pos="567"/>
            </w:tabs>
            <w:spacing w:before="120" w:after="120" w:line="240" w:lineRule="auto"/>
            <w:ind w:left="0" w:firstLine="0"/>
          </w:pPr>
          <w:r>
            <w:t xml:space="preserve">Match the amount of seed dressing that is delivered to the auger flow rate. </w:t>
          </w:r>
        </w:p>
        <w:p w:rsidR="00EB41B5" w:rsidRPr="00B830AA" w:rsidRDefault="00EB41B5" w:rsidP="00B830AA">
          <w:pPr>
            <w:spacing w:before="120" w:after="120" w:line="240" w:lineRule="auto"/>
            <w:ind w:left="-360"/>
            <w:rPr>
              <w:sz w:val="12"/>
            </w:rPr>
          </w:pPr>
        </w:p>
        <w:p w:rsidR="00B830AA" w:rsidRDefault="00B830AA" w:rsidP="00B830AA">
          <w:pPr>
            <w:spacing w:before="120" w:after="120" w:line="240" w:lineRule="auto"/>
            <w:ind w:left="-360"/>
          </w:pPr>
          <w:r>
            <w:t xml:space="preserve">Example; if the auger is delivering grain at 20 t/hr and the dressing rate is 4 L/t seed, </w:t>
          </w:r>
          <w:proofErr w:type="gramStart"/>
          <w:r>
            <w:t>then</w:t>
          </w:r>
          <w:proofErr w:type="gramEnd"/>
          <w:r>
            <w:t xml:space="preserve"> 80 L of dressing will need to be applied per hour or 1.333 L/minute. Measure this to calibrate the applicator and adjust as required to achieve this</w:t>
          </w:r>
          <w:r w:rsidRPr="00DD443D">
            <w:t xml:space="preserve"> </w:t>
          </w:r>
          <w:r>
            <w:t>rate.</w:t>
          </w:r>
        </w:p>
        <w:p w:rsidR="00F70F03" w:rsidRDefault="00F70F03" w:rsidP="00B830AA">
          <w:pPr>
            <w:spacing w:before="120" w:after="120" w:line="240" w:lineRule="auto"/>
            <w:ind w:left="-360"/>
          </w:pPr>
        </w:p>
        <w:p w:rsidR="00EB41B5" w:rsidRDefault="00EB41B5" w:rsidP="00EB41B5">
          <w:pPr>
            <w:spacing w:before="120" w:after="0" w:line="240" w:lineRule="auto"/>
          </w:pPr>
          <w:r>
            <w:rPr>
              <w:noProof/>
              <w:lang w:eastAsia="en-AU"/>
            </w:rPr>
            <w:drawing>
              <wp:inline distT="0" distB="0" distL="0" distR="0" wp14:anchorId="4B739D81" wp14:editId="2D6E2C17">
                <wp:extent cx="1466850" cy="1466850"/>
                <wp:effectExtent l="0" t="0" r="0" b="0"/>
                <wp:docPr id="3" name="Picture 3" descr=" Poor application of a seed dressing; many grains are untreated while some are over treated." title="Seed Dr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 seed treatmt G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7737" cy="1467737"/>
                        </a:xfrm>
                        <a:prstGeom prst="rect">
                          <a:avLst/>
                        </a:prstGeom>
                      </pic:spPr>
                    </pic:pic>
                  </a:graphicData>
                </a:graphic>
              </wp:inline>
            </w:drawing>
          </w:r>
        </w:p>
        <w:p w:rsidR="00EB41B5" w:rsidRDefault="00EB41B5" w:rsidP="00EB41B5">
          <w:pPr>
            <w:spacing w:before="120" w:after="0" w:line="240" w:lineRule="auto"/>
          </w:pPr>
          <w:r>
            <w:t>Figure 1 Poor application of a seed dressing; many grains are untreated while some are over treated.</w:t>
          </w:r>
        </w:p>
        <w:p w:rsidR="008F26A3" w:rsidRDefault="00EB41B5" w:rsidP="00EB41B5">
          <w:pPr>
            <w:spacing w:before="120" w:after="0" w:line="240" w:lineRule="auto"/>
          </w:pPr>
          <w:r>
            <w:t xml:space="preserve">Company </w:t>
          </w:r>
          <w:proofErr w:type="spellStart"/>
          <w:r>
            <w:t>technotes</w:t>
          </w:r>
          <w:proofErr w:type="spellEnd"/>
          <w:r>
            <w:t xml:space="preserve"> are available on the internet. Other useful tips and a comparison of seed treatment applicators can be found in the Kondinin Group Research Report </w:t>
          </w:r>
          <w:hyperlink r:id="rId11" w:history="1">
            <w:r w:rsidRPr="00F70F03">
              <w:rPr>
                <w:rStyle w:val="Hyperlink"/>
              </w:rPr>
              <w:t>Seed dressing applicators</w:t>
            </w:r>
          </w:hyperlink>
        </w:p>
        <w:p w:rsidR="00EB41B5" w:rsidRDefault="00F70F03" w:rsidP="00EB41B5">
          <w:pPr>
            <w:spacing w:before="120" w:after="0" w:line="240" w:lineRule="auto"/>
            <w:rPr>
              <w:sz w:val="20"/>
            </w:rPr>
          </w:pPr>
          <w:r>
            <w:t>(</w:t>
          </w:r>
          <w:hyperlink r:id="rId12" w:history="1">
            <w:r w:rsidR="00EB41B5" w:rsidRPr="001808C4">
              <w:rPr>
                <w:rStyle w:val="Hyperlink"/>
                <w:sz w:val="20"/>
              </w:rPr>
              <w:t>www.</w:t>
            </w:r>
            <w:r w:rsidR="00EB41B5" w:rsidRPr="001808C4">
              <w:rPr>
                <w:rStyle w:val="Hyperlink"/>
                <w:b/>
                <w:bCs/>
                <w:sz w:val="20"/>
              </w:rPr>
              <w:t>farmingahead</w:t>
            </w:r>
            <w:r w:rsidR="00EB41B5" w:rsidRPr="001808C4">
              <w:rPr>
                <w:rStyle w:val="Hyperlink"/>
                <w:sz w:val="20"/>
              </w:rPr>
              <w:t>.com.au/uploads/article_item/news/530/FA</w:t>
            </w:r>
            <w:r w:rsidR="00EB41B5" w:rsidRPr="001808C4">
              <w:rPr>
                <w:rStyle w:val="Hyperlink"/>
                <w:b/>
                <w:bCs/>
                <w:sz w:val="20"/>
              </w:rPr>
              <w:t>122</w:t>
            </w:r>
            <w:r w:rsidR="00EB41B5" w:rsidRPr="001808C4">
              <w:rPr>
                <w:rStyle w:val="Hyperlink"/>
                <w:sz w:val="20"/>
              </w:rPr>
              <w:t>-32.pdf</w:t>
            </w:r>
          </w:hyperlink>
          <w:r w:rsidR="00EB41B5">
            <w:rPr>
              <w:sz w:val="20"/>
            </w:rPr>
            <w:t xml:space="preserve"> </w:t>
          </w:r>
          <w:r>
            <w:rPr>
              <w:sz w:val="20"/>
            </w:rPr>
            <w:t>)</w:t>
          </w:r>
        </w:p>
        <w:p w:rsidR="00EB41B5" w:rsidRDefault="00EB41B5" w:rsidP="00EB41B5">
          <w:pPr>
            <w:pStyle w:val="Default"/>
            <w:spacing w:before="60"/>
            <w:rPr>
              <w:bCs/>
              <w:iCs/>
              <w:color w:val="auto"/>
              <w:sz w:val="22"/>
              <w:szCs w:val="22"/>
            </w:rPr>
          </w:pPr>
        </w:p>
        <w:p w:rsidR="00EB41B5" w:rsidRPr="00C14112" w:rsidRDefault="00EB41B5" w:rsidP="00F70F03">
          <w:pPr>
            <w:pStyle w:val="Heading2"/>
          </w:pPr>
          <w:r w:rsidRPr="00C14112">
            <w:lastRenderedPageBreak/>
            <w:t>Will treated seed have no loose smut in it?</w:t>
          </w:r>
        </w:p>
        <w:p w:rsidR="00EB41B5" w:rsidRDefault="00EB41B5" w:rsidP="00F70F03">
          <w:r>
            <w:t xml:space="preserve">Loose smut is a numbers game –a seed treatment will greatly reduce the likelihood of plants producing an infected head, but even with 99.99% control of transmission occasional infected plants will occur. For example if you have seed with an initial infection rate of 1% (40 mg seed sown @70 kg/ha), 99.99% control means that you could still see 2 infected plants </w:t>
          </w:r>
          <w:r w:rsidR="00A94E90">
            <w:t>per</w:t>
          </w:r>
          <w:r>
            <w:t xml:space="preserve"> hectare.</w:t>
          </w:r>
        </w:p>
        <w:p w:rsidR="00EB41B5" w:rsidRPr="00C14112" w:rsidRDefault="00EB41B5" w:rsidP="00F70F03">
          <w:r>
            <w:rPr>
              <w:bCs/>
              <w:iCs/>
            </w:rPr>
            <w:t xml:space="preserve">In terms of seed for the following season, </w:t>
          </w:r>
          <w:r w:rsidRPr="00C14112">
            <w:rPr>
              <w:bCs/>
              <w:iCs/>
            </w:rPr>
            <w:t xml:space="preserve">loose smut </w:t>
          </w:r>
          <w:r w:rsidRPr="00C14112">
            <w:t>spores are easily windborne,</w:t>
          </w:r>
          <w:r>
            <w:t xml:space="preserve"> therefore</w:t>
          </w:r>
          <w:r w:rsidRPr="00C14112">
            <w:t xml:space="preserve"> spores </w:t>
          </w:r>
          <w:r>
            <w:t>from</w:t>
          </w:r>
          <w:r w:rsidRPr="00C14112">
            <w:t xml:space="preserve"> affected plants outside a crop can be blown into clean crops resulting in</w:t>
          </w:r>
          <w:r>
            <w:t xml:space="preserve"> the</w:t>
          </w:r>
          <w:r w:rsidRPr="00C14112">
            <w:t xml:space="preserve"> harvest of infected seed.</w:t>
          </w:r>
          <w:r>
            <w:t xml:space="preserve"> This is why treatment every year is necessary. </w:t>
          </w:r>
          <w:bookmarkStart w:id="0" w:name="_GoBack"/>
          <w:bookmarkEnd w:id="0"/>
        </w:p>
        <w:p w:rsidR="00EB41B5" w:rsidRDefault="00EB41B5" w:rsidP="00EB41B5">
          <w:pPr>
            <w:pStyle w:val="Default"/>
            <w:spacing w:before="60"/>
            <w:rPr>
              <w:bCs/>
              <w:iCs/>
              <w:color w:val="auto"/>
              <w:sz w:val="22"/>
              <w:szCs w:val="22"/>
            </w:rPr>
          </w:pPr>
        </w:p>
        <w:p w:rsidR="00EB41B5" w:rsidRPr="00324D1F" w:rsidRDefault="00EB41B5" w:rsidP="00F70F03">
          <w:pPr>
            <w:pStyle w:val="Heading2"/>
            <w:rPr>
              <w:sz w:val="20"/>
              <w:szCs w:val="20"/>
            </w:rPr>
          </w:pPr>
          <w:r w:rsidRPr="00D06167">
            <w:t>For more information,</w:t>
          </w:r>
          <w:r w:rsidR="00F70F03">
            <w:t xml:space="preserve"> </w:t>
          </w:r>
          <w:r w:rsidRPr="00D06167">
            <w:t>contact</w:t>
          </w:r>
          <w:r w:rsidR="00F70F03">
            <w:t xml:space="preserve"> DAFWA</w:t>
          </w:r>
          <w:r w:rsidRPr="00324D1F">
            <w:rPr>
              <w:sz w:val="20"/>
              <w:szCs w:val="20"/>
            </w:rPr>
            <w:t xml:space="preserve">: </w:t>
          </w:r>
        </w:p>
        <w:p w:rsidR="00D71307" w:rsidRDefault="00D71307" w:rsidP="00D71307">
          <w:pPr>
            <w:sectPr w:rsidR="00D71307" w:rsidSect="00EA33A2">
              <w:headerReference w:type="first" r:id="rId13"/>
              <w:footerReference w:type="first" r:id="rId14"/>
              <w:pgSz w:w="11906" w:h="16838"/>
              <w:pgMar w:top="1440" w:right="1440" w:bottom="1440" w:left="1440" w:header="708" w:footer="708" w:gutter="0"/>
              <w:pgNumType w:start="0"/>
              <w:cols w:space="708"/>
              <w:titlePg/>
              <w:docGrid w:linePitch="360"/>
            </w:sectPr>
          </w:pPr>
        </w:p>
        <w:p w:rsidR="00D71307" w:rsidRDefault="00D71307" w:rsidP="00D71307">
          <w:pPr>
            <w:pStyle w:val="Default"/>
            <w:spacing w:before="20"/>
            <w:rPr>
              <w:b/>
              <w:bCs/>
              <w:color w:val="auto"/>
              <w:sz w:val="22"/>
              <w:szCs w:val="22"/>
            </w:rPr>
          </w:pPr>
          <w:r>
            <w:rPr>
              <w:b/>
              <w:bCs/>
              <w:color w:val="auto"/>
              <w:sz w:val="22"/>
              <w:szCs w:val="22"/>
            </w:rPr>
            <w:lastRenderedPageBreak/>
            <w:t>Geoff Thomas</w:t>
          </w:r>
        </w:p>
        <w:p w:rsidR="00D71307" w:rsidRDefault="00D71307" w:rsidP="00D71307">
          <w:pPr>
            <w:pStyle w:val="Default"/>
            <w:spacing w:before="20"/>
            <w:rPr>
              <w:color w:val="auto"/>
              <w:sz w:val="22"/>
              <w:szCs w:val="22"/>
            </w:rPr>
          </w:pPr>
          <w:r w:rsidRPr="008326AA">
            <w:rPr>
              <w:color w:val="auto"/>
              <w:sz w:val="22"/>
              <w:szCs w:val="22"/>
            </w:rPr>
            <w:t>Plant Pathologist</w:t>
          </w:r>
        </w:p>
        <w:p w:rsidR="00D71307" w:rsidRDefault="00D71307" w:rsidP="00D71307">
          <w:pPr>
            <w:pStyle w:val="Default"/>
            <w:spacing w:before="20"/>
            <w:rPr>
              <w:color w:val="auto"/>
              <w:sz w:val="22"/>
              <w:szCs w:val="22"/>
            </w:rPr>
          </w:pPr>
          <w:r w:rsidRPr="008326AA">
            <w:rPr>
              <w:color w:val="auto"/>
              <w:sz w:val="22"/>
              <w:szCs w:val="22"/>
            </w:rPr>
            <w:t>South Perth</w:t>
          </w:r>
        </w:p>
        <w:p w:rsidR="00D71307" w:rsidRDefault="00D71307" w:rsidP="00D71307">
          <w:pPr>
            <w:pStyle w:val="Default"/>
            <w:spacing w:before="20"/>
            <w:rPr>
              <w:color w:val="auto"/>
              <w:sz w:val="22"/>
              <w:szCs w:val="22"/>
            </w:rPr>
          </w:pPr>
          <w:r>
            <w:rPr>
              <w:color w:val="auto"/>
              <w:sz w:val="22"/>
              <w:szCs w:val="22"/>
            </w:rPr>
            <w:t>Phone:</w:t>
          </w:r>
          <w:r>
            <w:rPr>
              <w:color w:val="auto"/>
              <w:sz w:val="22"/>
              <w:szCs w:val="22"/>
            </w:rPr>
            <w:tab/>
          </w:r>
          <w:r w:rsidRPr="008326AA">
            <w:rPr>
              <w:color w:val="auto"/>
              <w:sz w:val="22"/>
              <w:szCs w:val="22"/>
            </w:rPr>
            <w:t>(08) 9368 3262.</w:t>
          </w:r>
        </w:p>
        <w:p w:rsidR="00D71307" w:rsidRDefault="00D71307" w:rsidP="00D71307">
          <w:pPr>
            <w:pStyle w:val="Default"/>
            <w:spacing w:before="20"/>
            <w:rPr>
              <w:bCs/>
              <w:color w:val="auto"/>
              <w:sz w:val="22"/>
              <w:szCs w:val="22"/>
            </w:rPr>
          </w:pPr>
          <w:r>
            <w:rPr>
              <w:color w:val="auto"/>
              <w:sz w:val="22"/>
              <w:szCs w:val="22"/>
            </w:rPr>
            <w:t xml:space="preserve">Email: </w:t>
          </w:r>
          <w:hyperlink r:id="rId15" w:history="1">
            <w:r w:rsidRPr="008326AA">
              <w:rPr>
                <w:rStyle w:val="Hyperlink"/>
                <w:bCs/>
                <w:sz w:val="22"/>
                <w:szCs w:val="22"/>
              </w:rPr>
              <w:t>geoff.j.thomas@agric.wa.gov.au</w:t>
            </w:r>
          </w:hyperlink>
          <w:r w:rsidRPr="008326AA">
            <w:rPr>
              <w:bCs/>
              <w:color w:val="auto"/>
              <w:sz w:val="22"/>
              <w:szCs w:val="22"/>
            </w:rPr>
            <w:t xml:space="preserve"> </w:t>
          </w:r>
        </w:p>
        <w:p w:rsidR="00D71307" w:rsidRPr="008326AA" w:rsidRDefault="00D71307" w:rsidP="00D71307">
          <w:pPr>
            <w:pStyle w:val="Default"/>
            <w:spacing w:before="20"/>
            <w:rPr>
              <w:bCs/>
              <w:color w:val="auto"/>
              <w:sz w:val="22"/>
              <w:szCs w:val="22"/>
              <w:u w:val="single"/>
            </w:rPr>
          </w:pPr>
        </w:p>
        <w:p w:rsidR="00D71307" w:rsidRDefault="00D71307" w:rsidP="00D71307">
          <w:pPr>
            <w:pStyle w:val="Default"/>
            <w:spacing w:before="20"/>
            <w:rPr>
              <w:b/>
              <w:bCs/>
              <w:color w:val="auto"/>
              <w:sz w:val="22"/>
              <w:szCs w:val="22"/>
            </w:rPr>
          </w:pPr>
          <w:r w:rsidRPr="008326AA">
            <w:rPr>
              <w:b/>
              <w:bCs/>
              <w:color w:val="auto"/>
              <w:sz w:val="22"/>
              <w:szCs w:val="22"/>
            </w:rPr>
            <w:t>Andrea Hills</w:t>
          </w:r>
        </w:p>
        <w:p w:rsidR="00D71307" w:rsidRDefault="00D71307" w:rsidP="00D71307">
          <w:pPr>
            <w:pStyle w:val="Default"/>
            <w:spacing w:before="20"/>
            <w:rPr>
              <w:color w:val="auto"/>
              <w:sz w:val="22"/>
              <w:szCs w:val="22"/>
            </w:rPr>
          </w:pPr>
          <w:r w:rsidRPr="008326AA">
            <w:rPr>
              <w:color w:val="auto"/>
              <w:sz w:val="22"/>
              <w:szCs w:val="22"/>
            </w:rPr>
            <w:t>Plant Pathologist</w:t>
          </w:r>
        </w:p>
        <w:p w:rsidR="00D71307" w:rsidRDefault="00D71307" w:rsidP="00D71307">
          <w:pPr>
            <w:pStyle w:val="Default"/>
            <w:spacing w:before="20"/>
            <w:rPr>
              <w:color w:val="auto"/>
              <w:sz w:val="22"/>
              <w:szCs w:val="22"/>
            </w:rPr>
          </w:pPr>
          <w:r w:rsidRPr="008326AA">
            <w:rPr>
              <w:color w:val="auto"/>
              <w:sz w:val="22"/>
              <w:szCs w:val="22"/>
            </w:rPr>
            <w:t>Esperance</w:t>
          </w:r>
        </w:p>
        <w:p w:rsidR="00D71307" w:rsidRDefault="00D71307" w:rsidP="00D71307">
          <w:pPr>
            <w:pStyle w:val="Default"/>
            <w:spacing w:before="20"/>
            <w:rPr>
              <w:color w:val="auto"/>
              <w:sz w:val="22"/>
              <w:szCs w:val="22"/>
            </w:rPr>
          </w:pPr>
          <w:r>
            <w:rPr>
              <w:color w:val="auto"/>
              <w:sz w:val="22"/>
              <w:szCs w:val="22"/>
            </w:rPr>
            <w:t>Phone: (08) 9083 1144</w:t>
          </w:r>
        </w:p>
        <w:p w:rsidR="00D71307" w:rsidRDefault="00D71307" w:rsidP="00D71307">
          <w:pPr>
            <w:pStyle w:val="Default"/>
            <w:spacing w:before="20"/>
            <w:rPr>
              <w:color w:val="auto"/>
              <w:sz w:val="22"/>
              <w:szCs w:val="22"/>
            </w:rPr>
          </w:pPr>
          <w:r>
            <w:rPr>
              <w:color w:val="auto"/>
              <w:sz w:val="22"/>
              <w:szCs w:val="22"/>
            </w:rPr>
            <w:t xml:space="preserve">Email: </w:t>
          </w:r>
          <w:hyperlink r:id="rId16" w:history="1">
            <w:r w:rsidRPr="008326AA">
              <w:rPr>
                <w:rStyle w:val="Hyperlink"/>
                <w:sz w:val="22"/>
                <w:szCs w:val="22"/>
              </w:rPr>
              <w:t>andrea.hills@agric.wa.gov.au</w:t>
            </w:r>
          </w:hyperlink>
          <w:r w:rsidRPr="008326AA">
            <w:rPr>
              <w:color w:val="auto"/>
              <w:sz w:val="22"/>
              <w:szCs w:val="22"/>
            </w:rPr>
            <w:t xml:space="preserve"> </w:t>
          </w:r>
        </w:p>
        <w:p w:rsidR="00D71307" w:rsidRPr="008326AA" w:rsidRDefault="00D71307" w:rsidP="00D71307">
          <w:pPr>
            <w:pStyle w:val="Default"/>
            <w:spacing w:before="20"/>
            <w:rPr>
              <w:b/>
              <w:bCs/>
              <w:color w:val="auto"/>
              <w:sz w:val="22"/>
              <w:szCs w:val="22"/>
              <w:u w:val="single"/>
            </w:rPr>
          </w:pPr>
        </w:p>
        <w:p w:rsidR="00D71307" w:rsidRDefault="00D71307" w:rsidP="00D71307">
          <w:pPr>
            <w:pStyle w:val="Default"/>
            <w:spacing w:before="20"/>
            <w:rPr>
              <w:b/>
              <w:bCs/>
              <w:color w:val="auto"/>
              <w:sz w:val="22"/>
              <w:szCs w:val="22"/>
            </w:rPr>
          </w:pPr>
          <w:r w:rsidRPr="008326AA">
            <w:rPr>
              <w:b/>
              <w:bCs/>
              <w:color w:val="auto"/>
              <w:sz w:val="22"/>
              <w:szCs w:val="22"/>
            </w:rPr>
            <w:t xml:space="preserve">Kith Jayasena, </w:t>
          </w:r>
        </w:p>
        <w:p w:rsidR="00D71307" w:rsidRDefault="00D71307" w:rsidP="00D71307">
          <w:pPr>
            <w:pStyle w:val="Default"/>
            <w:spacing w:before="20"/>
            <w:rPr>
              <w:color w:val="auto"/>
              <w:sz w:val="22"/>
              <w:szCs w:val="22"/>
            </w:rPr>
          </w:pPr>
          <w:r w:rsidRPr="008326AA">
            <w:rPr>
              <w:color w:val="auto"/>
              <w:sz w:val="22"/>
              <w:szCs w:val="22"/>
            </w:rPr>
            <w:t>Plant Pathologist</w:t>
          </w:r>
        </w:p>
        <w:p w:rsidR="00D71307" w:rsidRDefault="00D71307" w:rsidP="00D71307">
          <w:pPr>
            <w:pStyle w:val="Default"/>
            <w:spacing w:before="20"/>
            <w:rPr>
              <w:color w:val="auto"/>
              <w:sz w:val="22"/>
              <w:szCs w:val="22"/>
            </w:rPr>
          </w:pPr>
          <w:r w:rsidRPr="008326AA">
            <w:rPr>
              <w:color w:val="auto"/>
              <w:sz w:val="22"/>
              <w:szCs w:val="22"/>
            </w:rPr>
            <w:t>Albany</w:t>
          </w:r>
        </w:p>
        <w:p w:rsidR="00D71307" w:rsidRDefault="00D71307" w:rsidP="00D71307">
          <w:pPr>
            <w:pStyle w:val="Default"/>
            <w:spacing w:before="20"/>
            <w:rPr>
              <w:color w:val="auto"/>
              <w:sz w:val="22"/>
              <w:szCs w:val="22"/>
            </w:rPr>
          </w:pPr>
          <w:r>
            <w:rPr>
              <w:color w:val="auto"/>
              <w:sz w:val="22"/>
              <w:szCs w:val="22"/>
            </w:rPr>
            <w:t xml:space="preserve">Phone: (08) 9892 8477 </w:t>
          </w:r>
        </w:p>
        <w:p w:rsidR="00D71307" w:rsidRDefault="00D71307" w:rsidP="00D71307">
          <w:pPr>
            <w:pStyle w:val="Default"/>
            <w:spacing w:before="20"/>
            <w:rPr>
              <w:rStyle w:val="Hyperlink"/>
              <w:bCs/>
              <w:sz w:val="22"/>
              <w:szCs w:val="22"/>
            </w:rPr>
          </w:pPr>
          <w:r>
            <w:rPr>
              <w:color w:val="auto"/>
              <w:sz w:val="22"/>
              <w:szCs w:val="22"/>
            </w:rPr>
            <w:t xml:space="preserve">Email: </w:t>
          </w:r>
          <w:hyperlink r:id="rId17" w:history="1">
            <w:r w:rsidRPr="008326AA">
              <w:rPr>
                <w:rStyle w:val="Hyperlink"/>
                <w:bCs/>
                <w:sz w:val="22"/>
                <w:szCs w:val="22"/>
              </w:rPr>
              <w:t>kithsiri.jayasena@agric.wa.gov.au</w:t>
            </w:r>
          </w:hyperlink>
        </w:p>
        <w:p w:rsidR="00D71307" w:rsidRDefault="00D71307" w:rsidP="00D71307">
          <w:pPr>
            <w:pStyle w:val="Default"/>
            <w:spacing w:before="20"/>
            <w:rPr>
              <w:b/>
              <w:bCs/>
              <w:color w:val="auto"/>
              <w:sz w:val="22"/>
              <w:szCs w:val="22"/>
            </w:rPr>
          </w:pPr>
          <w:r w:rsidRPr="008326AA">
            <w:rPr>
              <w:b/>
              <w:bCs/>
              <w:color w:val="auto"/>
              <w:sz w:val="22"/>
              <w:szCs w:val="22"/>
            </w:rPr>
            <w:lastRenderedPageBreak/>
            <w:t>Ciara Beard</w:t>
          </w:r>
        </w:p>
        <w:p w:rsidR="00D71307" w:rsidRDefault="00D71307" w:rsidP="00D71307">
          <w:pPr>
            <w:pStyle w:val="Default"/>
            <w:spacing w:before="20"/>
            <w:rPr>
              <w:bCs/>
              <w:color w:val="auto"/>
              <w:sz w:val="22"/>
              <w:szCs w:val="22"/>
            </w:rPr>
          </w:pPr>
          <w:r w:rsidRPr="008326AA">
            <w:rPr>
              <w:bCs/>
              <w:color w:val="auto"/>
              <w:sz w:val="22"/>
              <w:szCs w:val="22"/>
            </w:rPr>
            <w:t>Plant Pathologist</w:t>
          </w:r>
        </w:p>
        <w:p w:rsidR="00D71307" w:rsidRDefault="00D71307" w:rsidP="00D71307">
          <w:pPr>
            <w:pStyle w:val="Default"/>
            <w:spacing w:before="20"/>
            <w:rPr>
              <w:bCs/>
              <w:color w:val="auto"/>
              <w:sz w:val="22"/>
              <w:szCs w:val="22"/>
            </w:rPr>
          </w:pPr>
          <w:r w:rsidRPr="008326AA">
            <w:rPr>
              <w:bCs/>
              <w:color w:val="auto"/>
              <w:sz w:val="22"/>
              <w:szCs w:val="22"/>
            </w:rPr>
            <w:t>Geraldton</w:t>
          </w:r>
        </w:p>
        <w:p w:rsidR="00D71307" w:rsidRDefault="00D71307" w:rsidP="00D71307">
          <w:pPr>
            <w:pStyle w:val="Default"/>
            <w:spacing w:before="20"/>
            <w:rPr>
              <w:sz w:val="22"/>
              <w:szCs w:val="22"/>
              <w:lang w:val="en"/>
            </w:rPr>
          </w:pPr>
          <w:r>
            <w:rPr>
              <w:bCs/>
              <w:color w:val="auto"/>
              <w:sz w:val="22"/>
              <w:szCs w:val="22"/>
            </w:rPr>
            <w:t xml:space="preserve">Phone </w:t>
          </w:r>
          <w:r w:rsidRPr="008326AA">
            <w:rPr>
              <w:bCs/>
              <w:color w:val="auto"/>
              <w:sz w:val="22"/>
              <w:szCs w:val="22"/>
            </w:rPr>
            <w:t xml:space="preserve">(08) </w:t>
          </w:r>
          <w:r w:rsidRPr="008326AA">
            <w:rPr>
              <w:sz w:val="22"/>
              <w:szCs w:val="22"/>
              <w:lang w:val="en"/>
            </w:rPr>
            <w:t>9956 8504</w:t>
          </w:r>
          <w:r>
            <w:rPr>
              <w:sz w:val="22"/>
              <w:szCs w:val="22"/>
              <w:lang w:val="en"/>
            </w:rPr>
            <w:t xml:space="preserve"> </w:t>
          </w:r>
        </w:p>
        <w:p w:rsidR="00D71307" w:rsidRDefault="00D71307" w:rsidP="00D71307">
          <w:pPr>
            <w:pStyle w:val="Default"/>
            <w:spacing w:before="20"/>
            <w:rPr>
              <w:sz w:val="22"/>
              <w:szCs w:val="22"/>
              <w:lang w:val="en"/>
            </w:rPr>
          </w:pPr>
          <w:r>
            <w:rPr>
              <w:sz w:val="22"/>
              <w:szCs w:val="22"/>
              <w:lang w:val="en"/>
            </w:rPr>
            <w:t xml:space="preserve">Email: </w:t>
          </w:r>
          <w:hyperlink r:id="rId18" w:history="1">
            <w:r w:rsidRPr="006559CB">
              <w:rPr>
                <w:rStyle w:val="Hyperlink"/>
                <w:sz w:val="22"/>
                <w:szCs w:val="22"/>
                <w:lang w:val="en"/>
              </w:rPr>
              <w:t>ciara.beard@agric.wa.gov.au</w:t>
            </w:r>
          </w:hyperlink>
          <w:r w:rsidRPr="008326AA">
            <w:rPr>
              <w:sz w:val="22"/>
              <w:szCs w:val="22"/>
              <w:lang w:val="en"/>
            </w:rPr>
            <w:t xml:space="preserve"> </w:t>
          </w:r>
        </w:p>
        <w:p w:rsidR="00D71307" w:rsidRPr="008326AA" w:rsidRDefault="00D71307" w:rsidP="00D71307">
          <w:pPr>
            <w:pStyle w:val="Default"/>
            <w:spacing w:before="20"/>
            <w:rPr>
              <w:bCs/>
              <w:color w:val="auto"/>
              <w:sz w:val="22"/>
              <w:szCs w:val="22"/>
            </w:rPr>
          </w:pPr>
        </w:p>
        <w:p w:rsidR="00D71307" w:rsidRDefault="00D71307" w:rsidP="00D71307">
          <w:pPr>
            <w:pStyle w:val="Default"/>
            <w:spacing w:before="20"/>
            <w:rPr>
              <w:b/>
              <w:color w:val="auto"/>
              <w:sz w:val="22"/>
              <w:szCs w:val="22"/>
            </w:rPr>
          </w:pPr>
          <w:r w:rsidRPr="008326AA">
            <w:rPr>
              <w:b/>
              <w:color w:val="auto"/>
              <w:sz w:val="22"/>
              <w:szCs w:val="22"/>
            </w:rPr>
            <w:t>Blakely Paynter</w:t>
          </w:r>
          <w:r>
            <w:rPr>
              <w:b/>
              <w:color w:val="auto"/>
              <w:sz w:val="22"/>
              <w:szCs w:val="22"/>
            </w:rPr>
            <w:t xml:space="preserve"> </w:t>
          </w:r>
        </w:p>
        <w:p w:rsidR="00D71307" w:rsidRDefault="00D71307" w:rsidP="00D71307">
          <w:pPr>
            <w:pStyle w:val="Default"/>
            <w:spacing w:before="20"/>
            <w:rPr>
              <w:color w:val="auto"/>
              <w:sz w:val="22"/>
              <w:szCs w:val="22"/>
            </w:rPr>
          </w:pPr>
          <w:r>
            <w:rPr>
              <w:color w:val="auto"/>
              <w:sz w:val="22"/>
              <w:szCs w:val="22"/>
            </w:rPr>
            <w:t>Barley Agronomist</w:t>
          </w:r>
        </w:p>
        <w:p w:rsidR="00D71307" w:rsidRDefault="00D71307" w:rsidP="00D71307">
          <w:pPr>
            <w:pStyle w:val="Default"/>
            <w:spacing w:before="20"/>
            <w:rPr>
              <w:color w:val="auto"/>
              <w:sz w:val="22"/>
              <w:szCs w:val="22"/>
            </w:rPr>
          </w:pPr>
          <w:r w:rsidRPr="008326AA">
            <w:rPr>
              <w:color w:val="auto"/>
              <w:sz w:val="22"/>
              <w:szCs w:val="22"/>
            </w:rPr>
            <w:t xml:space="preserve">Northam </w:t>
          </w:r>
        </w:p>
        <w:p w:rsidR="00D71307" w:rsidRDefault="00D71307" w:rsidP="00D71307">
          <w:pPr>
            <w:pStyle w:val="Default"/>
            <w:spacing w:before="20"/>
            <w:rPr>
              <w:color w:val="auto"/>
              <w:sz w:val="22"/>
              <w:szCs w:val="22"/>
            </w:rPr>
          </w:pPr>
          <w:r>
            <w:rPr>
              <w:color w:val="auto"/>
              <w:sz w:val="22"/>
              <w:szCs w:val="22"/>
            </w:rPr>
            <w:t xml:space="preserve">Phone: </w:t>
          </w:r>
          <w:r w:rsidRPr="008326AA">
            <w:rPr>
              <w:color w:val="auto"/>
              <w:sz w:val="22"/>
              <w:szCs w:val="22"/>
            </w:rPr>
            <w:t>(08) 9690 2115</w:t>
          </w:r>
          <w:r>
            <w:rPr>
              <w:color w:val="auto"/>
              <w:sz w:val="22"/>
              <w:szCs w:val="22"/>
            </w:rPr>
            <w:t xml:space="preserve"> </w:t>
          </w:r>
        </w:p>
        <w:p w:rsidR="00D71307" w:rsidRPr="008326AA" w:rsidRDefault="00D71307" w:rsidP="00D71307">
          <w:pPr>
            <w:pStyle w:val="Default"/>
            <w:spacing w:before="20"/>
            <w:rPr>
              <w:color w:val="auto"/>
              <w:sz w:val="22"/>
              <w:szCs w:val="22"/>
            </w:rPr>
          </w:pPr>
          <w:r>
            <w:rPr>
              <w:color w:val="auto"/>
              <w:sz w:val="22"/>
              <w:szCs w:val="22"/>
            </w:rPr>
            <w:t xml:space="preserve">Email: </w:t>
          </w:r>
          <w:hyperlink r:id="rId19" w:history="1">
            <w:r w:rsidRPr="008326AA">
              <w:rPr>
                <w:rStyle w:val="Hyperlink"/>
                <w:sz w:val="22"/>
                <w:szCs w:val="22"/>
              </w:rPr>
              <w:t>blakely.paynter@agric.wa.gov.au</w:t>
            </w:r>
          </w:hyperlink>
          <w:r w:rsidRPr="008326AA">
            <w:rPr>
              <w:color w:val="auto"/>
              <w:sz w:val="22"/>
              <w:szCs w:val="22"/>
            </w:rPr>
            <w:t xml:space="preserve"> </w:t>
          </w:r>
        </w:p>
        <w:p w:rsidR="00D71307" w:rsidRDefault="00D71307" w:rsidP="00D71307"/>
        <w:p w:rsidR="00D71307" w:rsidRDefault="00D71307" w:rsidP="00EB41B5">
          <w:pPr>
            <w:pStyle w:val="Default"/>
            <w:spacing w:before="20"/>
            <w:rPr>
              <w:b/>
              <w:bCs/>
              <w:color w:val="auto"/>
              <w:sz w:val="22"/>
              <w:szCs w:val="22"/>
            </w:rPr>
          </w:pPr>
        </w:p>
        <w:p w:rsidR="00D71307" w:rsidRDefault="00D71307" w:rsidP="00EB41B5">
          <w:pPr>
            <w:pStyle w:val="Default"/>
            <w:spacing w:before="20"/>
            <w:rPr>
              <w:b/>
              <w:bCs/>
              <w:color w:val="auto"/>
              <w:sz w:val="22"/>
              <w:szCs w:val="22"/>
            </w:rPr>
          </w:pPr>
        </w:p>
        <w:p w:rsidR="00D71307" w:rsidRDefault="00D71307" w:rsidP="00EB41B5">
          <w:pPr>
            <w:pStyle w:val="Default"/>
            <w:spacing w:before="20"/>
            <w:rPr>
              <w:b/>
              <w:bCs/>
              <w:color w:val="auto"/>
              <w:sz w:val="22"/>
              <w:szCs w:val="22"/>
            </w:rPr>
          </w:pPr>
        </w:p>
        <w:p w:rsidR="00D71307" w:rsidRDefault="00D71307" w:rsidP="00EB41B5">
          <w:pPr>
            <w:pStyle w:val="Default"/>
            <w:spacing w:before="20"/>
            <w:rPr>
              <w:b/>
              <w:bCs/>
              <w:color w:val="auto"/>
              <w:sz w:val="22"/>
              <w:szCs w:val="22"/>
            </w:rPr>
          </w:pPr>
        </w:p>
        <w:p w:rsidR="00D71307" w:rsidRDefault="00D71307" w:rsidP="00EB41B5">
          <w:pPr>
            <w:pStyle w:val="Default"/>
            <w:spacing w:before="20"/>
            <w:rPr>
              <w:b/>
              <w:bCs/>
              <w:color w:val="auto"/>
              <w:sz w:val="22"/>
              <w:szCs w:val="22"/>
            </w:rPr>
            <w:sectPr w:rsidR="00D71307" w:rsidSect="00D71307">
              <w:type w:val="continuous"/>
              <w:pgSz w:w="11906" w:h="16838"/>
              <w:pgMar w:top="1440" w:right="1440" w:bottom="1440" w:left="1440" w:header="708" w:footer="708" w:gutter="0"/>
              <w:pgNumType w:start="0"/>
              <w:cols w:num="2" w:space="708"/>
              <w:titlePg/>
              <w:docGrid w:linePitch="360"/>
            </w:sectPr>
          </w:pPr>
        </w:p>
        <w:p w:rsidR="00D71307" w:rsidRDefault="00D71307" w:rsidP="00D71307">
          <w:pPr>
            <w:spacing w:after="0" w:line="240" w:lineRule="auto"/>
            <w:rPr>
              <w:sz w:val="22"/>
            </w:rPr>
            <w:sectPr w:rsidR="00D71307" w:rsidSect="00147D15">
              <w:type w:val="continuous"/>
              <w:pgSz w:w="11906" w:h="16838"/>
              <w:pgMar w:top="1440" w:right="1440" w:bottom="1440" w:left="1440" w:header="708" w:footer="57" w:gutter="0"/>
              <w:pgNumType w:start="0"/>
              <w:cols w:num="2" w:space="708"/>
              <w:titlePg/>
              <w:docGrid w:linePitch="360"/>
            </w:sectPr>
          </w:pPr>
        </w:p>
        <w:p w:rsidR="00F70F03" w:rsidRDefault="00F70F03" w:rsidP="00EB41B5">
          <w:pPr>
            <w:spacing w:before="120" w:after="0" w:line="240" w:lineRule="auto"/>
            <w:rPr>
              <w:b/>
              <w:bCs/>
              <w:sz w:val="20"/>
              <w:szCs w:val="20"/>
            </w:rPr>
          </w:pPr>
        </w:p>
        <w:p w:rsidR="00EB41B5" w:rsidRPr="004A20B5" w:rsidRDefault="00EB41B5" w:rsidP="00F70F03">
          <w:pPr>
            <w:pStyle w:val="Heading2"/>
          </w:pPr>
          <w:r w:rsidRPr="004A20B5">
            <w:t>Acknowledgments</w:t>
          </w:r>
        </w:p>
        <w:p w:rsidR="00EB41B5" w:rsidRPr="004A20B5" w:rsidRDefault="00EB41B5" w:rsidP="00EB41B5">
          <w:pPr>
            <w:spacing w:after="0" w:line="240" w:lineRule="auto"/>
            <w:rPr>
              <w:sz w:val="20"/>
              <w:szCs w:val="20"/>
            </w:rPr>
          </w:pPr>
          <w:r w:rsidRPr="004A20B5">
            <w:rPr>
              <w:sz w:val="20"/>
              <w:szCs w:val="20"/>
            </w:rPr>
            <w:t>Funding and materials for research to support some of the findings and options presented in this factsheet was provided by the Department of Agriculture and Food (DAFWA), the Grains</w:t>
          </w:r>
          <w:r w:rsidRPr="00AE56A6">
            <w:t xml:space="preserve"> </w:t>
          </w:r>
          <w:r w:rsidRPr="00FA4859">
            <w:rPr>
              <w:sz w:val="20"/>
              <w:szCs w:val="20"/>
            </w:rPr>
            <w:t>Research and</w:t>
          </w:r>
          <w:r w:rsidRPr="00AE56A6">
            <w:t xml:space="preserve"> </w:t>
          </w:r>
          <w:r w:rsidRPr="004A20B5">
            <w:rPr>
              <w:sz w:val="20"/>
              <w:szCs w:val="20"/>
            </w:rPr>
            <w:t xml:space="preserve">Development Corporation (GRDC), </w:t>
          </w:r>
          <w:r>
            <w:rPr>
              <w:sz w:val="20"/>
              <w:szCs w:val="20"/>
            </w:rPr>
            <w:t xml:space="preserve">Bayer, </w:t>
          </w:r>
          <w:proofErr w:type="spellStart"/>
          <w:r>
            <w:rPr>
              <w:sz w:val="20"/>
              <w:szCs w:val="20"/>
            </w:rPr>
            <w:t>Chemtura</w:t>
          </w:r>
          <w:proofErr w:type="spellEnd"/>
          <w:r>
            <w:rPr>
              <w:sz w:val="20"/>
              <w:szCs w:val="20"/>
            </w:rPr>
            <w:t xml:space="preserve"> and Syngenta. Bayer (Rick Horbury) contributed valuable data (Table 2).</w:t>
          </w:r>
        </w:p>
        <w:p w:rsidR="00F70F03" w:rsidRDefault="00F70F03" w:rsidP="00EB41B5">
          <w:pPr>
            <w:spacing w:before="120" w:after="0" w:line="240" w:lineRule="auto"/>
            <w:rPr>
              <w:b/>
              <w:sz w:val="18"/>
              <w:szCs w:val="16"/>
            </w:rPr>
          </w:pPr>
        </w:p>
        <w:p w:rsidR="00EB41B5" w:rsidRPr="00F962A6" w:rsidRDefault="00F70F03" w:rsidP="00F70F03">
          <w:pPr>
            <w:pStyle w:val="Heading2"/>
          </w:pPr>
          <w:r>
            <w:t>Important Disclaimer</w:t>
          </w:r>
          <w:r w:rsidR="00EB41B5" w:rsidRPr="00F962A6">
            <w:t>:</w:t>
          </w:r>
        </w:p>
        <w:p w:rsidR="002849D7" w:rsidRPr="00F70F03" w:rsidRDefault="00EB41B5" w:rsidP="00F70F03">
          <w:pPr>
            <w:autoSpaceDE w:val="0"/>
            <w:autoSpaceDN w:val="0"/>
            <w:adjustRightInd w:val="0"/>
            <w:spacing w:after="0" w:line="240" w:lineRule="auto"/>
            <w:rPr>
              <w:sz w:val="18"/>
              <w:szCs w:val="16"/>
            </w:rPr>
          </w:pPr>
          <w:r w:rsidRPr="00F962A6">
            <w:rPr>
              <w:sz w:val="18"/>
              <w:szCs w:val="16"/>
            </w:rPr>
            <w:t xml:space="preserve">The State of Western Australia, the Minister for Agriculture, the Chief Executive Officer of the Department of Agriculture and Food and their respective officers, employees and agents: a) </w:t>
          </w:r>
          <w:proofErr w:type="gramStart"/>
          <w:r w:rsidRPr="00F962A6">
            <w:rPr>
              <w:sz w:val="18"/>
              <w:szCs w:val="16"/>
            </w:rPr>
            <w:t>do</w:t>
          </w:r>
          <w:proofErr w:type="gramEnd"/>
          <w:r w:rsidRPr="00F962A6">
            <w:rPr>
              <w:sz w:val="18"/>
              <w:szCs w:val="16"/>
            </w:rPr>
            <w:t xml:space="preserve"> not endorse or recommend any individual specified product or any manufacturer of a specified product. Brand, trade and proprietary names have been used solely for the purpose of assisting users of this publication to identify products. Alternative manufacturers’ products may perform as well or better than those specifically referred to. b) </w:t>
          </w:r>
          <w:proofErr w:type="gramStart"/>
          <w:r w:rsidRPr="00F962A6">
            <w:rPr>
              <w:sz w:val="18"/>
              <w:szCs w:val="16"/>
            </w:rPr>
            <w:t>accept</w:t>
          </w:r>
          <w:proofErr w:type="gramEnd"/>
          <w:r w:rsidRPr="00F962A6">
            <w:rPr>
              <w:sz w:val="18"/>
              <w:szCs w:val="16"/>
            </w:rPr>
            <w:t xml:space="preserve"> no liability whatsoever by reason of negligence or otherwise from use or release of this information or any part of it.</w:t>
          </w:r>
        </w:p>
        <w:p w:rsidR="009D2FDC" w:rsidRPr="009D2FDC" w:rsidRDefault="009D2FDC" w:rsidP="009D2FDC"/>
        <w:p w:rsidR="001B6CA8" w:rsidRPr="004271B5" w:rsidRDefault="007D60E5" w:rsidP="007D60E5">
          <w:pPr>
            <w:rPr>
              <w:sz w:val="22"/>
            </w:rPr>
          </w:pPr>
          <w:r w:rsidRPr="004271B5">
            <w:rPr>
              <w:color w:val="595959" w:themeColor="text1" w:themeTint="A6"/>
              <w:sz w:val="22"/>
            </w:rPr>
            <w:t>Copyright © Western Australian Agriculture Authority, 2014</w:t>
          </w:r>
        </w:p>
      </w:sdtContent>
    </w:sdt>
    <w:sectPr w:rsidR="001B6CA8" w:rsidRPr="004271B5" w:rsidSect="00D71307">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58" w:rsidRDefault="002F7158" w:rsidP="00337B8D">
      <w:pPr>
        <w:spacing w:after="0" w:line="240" w:lineRule="auto"/>
      </w:pPr>
      <w:r>
        <w:separator/>
      </w:r>
    </w:p>
  </w:endnote>
  <w:endnote w:type="continuationSeparator" w:id="0">
    <w:p w:rsidR="002F7158" w:rsidRDefault="002F7158"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5F" w:rsidRPr="003C7E5F" w:rsidRDefault="003C7E5F" w:rsidP="009D2FDC">
    <w:pPr>
      <w:pStyle w:val="Heading1"/>
    </w:pPr>
    <w:r w:rsidRPr="003C7E5F">
      <w:t>Supporting your success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58" w:rsidRDefault="002F7158" w:rsidP="00337B8D">
      <w:pPr>
        <w:spacing w:after="0" w:line="240" w:lineRule="auto"/>
      </w:pPr>
      <w:r>
        <w:separator/>
      </w:r>
    </w:p>
  </w:footnote>
  <w:footnote w:type="continuationSeparator" w:id="0">
    <w:p w:rsidR="002F7158" w:rsidRDefault="002F7158" w:rsidP="0033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5F" w:rsidRDefault="003C7E5F" w:rsidP="00D951A1">
    <w:pPr>
      <w:pStyle w:val="Header"/>
      <w:tabs>
        <w:tab w:val="clear" w:pos="4513"/>
        <w:tab w:val="clear" w:pos="9026"/>
        <w:tab w:val="left" w:pos="5777"/>
      </w:tabs>
    </w:pPr>
    <w:r>
      <w:rPr>
        <w:noProof/>
        <w:lang w:eastAsia="en-AU"/>
      </w:rPr>
      <w:drawing>
        <wp:inline distT="0" distB="0" distL="0" distR="0" wp14:anchorId="744807ED" wp14:editId="0A65014B">
          <wp:extent cx="3124200" cy="660400"/>
          <wp:effectExtent l="0" t="0" r="0" b="6350"/>
          <wp:docPr id="14" name="Picture 14" descr="Department of Agriculture and Food,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97A"/>
    <w:multiLevelType w:val="hybridMultilevel"/>
    <w:tmpl w:val="931E891E"/>
    <w:lvl w:ilvl="0" w:tplc="FD3EE8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11D0B"/>
    <w:multiLevelType w:val="hybridMultilevel"/>
    <w:tmpl w:val="C42C6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D33A58"/>
    <w:multiLevelType w:val="hybridMultilevel"/>
    <w:tmpl w:val="1ED06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971DBE"/>
    <w:multiLevelType w:val="hybridMultilevel"/>
    <w:tmpl w:val="8F727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071D72"/>
    <w:multiLevelType w:val="hybridMultilevel"/>
    <w:tmpl w:val="AE5A5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8"/>
  </w:num>
  <w:num w:numId="6">
    <w:abstractNumId w:val="5"/>
  </w:num>
  <w:num w:numId="7">
    <w:abstractNumId w:val="4"/>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1E"/>
    <w:rsid w:val="00022B5A"/>
    <w:rsid w:val="00081312"/>
    <w:rsid w:val="000B09DC"/>
    <w:rsid w:val="000D097F"/>
    <w:rsid w:val="000E527D"/>
    <w:rsid w:val="001211BE"/>
    <w:rsid w:val="001869AC"/>
    <w:rsid w:val="001B6CA8"/>
    <w:rsid w:val="002241C1"/>
    <w:rsid w:val="002849D7"/>
    <w:rsid w:val="002B4E15"/>
    <w:rsid w:val="002C40A3"/>
    <w:rsid w:val="002F7158"/>
    <w:rsid w:val="00337B8D"/>
    <w:rsid w:val="003C7E5F"/>
    <w:rsid w:val="003E303D"/>
    <w:rsid w:val="004271B5"/>
    <w:rsid w:val="004D61F3"/>
    <w:rsid w:val="0057626A"/>
    <w:rsid w:val="005B0200"/>
    <w:rsid w:val="005C734A"/>
    <w:rsid w:val="006811BE"/>
    <w:rsid w:val="00697360"/>
    <w:rsid w:val="007D60E5"/>
    <w:rsid w:val="00866885"/>
    <w:rsid w:val="008F26A3"/>
    <w:rsid w:val="00920DAA"/>
    <w:rsid w:val="009D2FDC"/>
    <w:rsid w:val="00A10AB8"/>
    <w:rsid w:val="00A424DC"/>
    <w:rsid w:val="00A6137F"/>
    <w:rsid w:val="00A649C4"/>
    <w:rsid w:val="00A94E90"/>
    <w:rsid w:val="00B002F3"/>
    <w:rsid w:val="00B81C43"/>
    <w:rsid w:val="00B830AA"/>
    <w:rsid w:val="00BA65EE"/>
    <w:rsid w:val="00BD08C5"/>
    <w:rsid w:val="00C74648"/>
    <w:rsid w:val="00C914F0"/>
    <w:rsid w:val="00CE7BE7"/>
    <w:rsid w:val="00CF5F3A"/>
    <w:rsid w:val="00D71307"/>
    <w:rsid w:val="00D951A1"/>
    <w:rsid w:val="00DD1C77"/>
    <w:rsid w:val="00DE193B"/>
    <w:rsid w:val="00DE5C97"/>
    <w:rsid w:val="00EA33A2"/>
    <w:rsid w:val="00EB41B5"/>
    <w:rsid w:val="00EC616C"/>
    <w:rsid w:val="00ED521E"/>
    <w:rsid w:val="00F377A3"/>
    <w:rsid w:val="00F70F03"/>
    <w:rsid w:val="00FD2623"/>
    <w:rsid w:val="00FE1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C1"/>
    <w:rPr>
      <w:rFonts w:ascii="Arial" w:hAnsi="Arial"/>
      <w:color w:val="404040" w:themeColor="text1" w:themeTint="BF"/>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081312"/>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081312"/>
    <w:pPr>
      <w:keepNext/>
      <w:keepLines/>
      <w:spacing w:before="160" w:after="120"/>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081312"/>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081312"/>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2241C1"/>
    <w:rPr>
      <w:rFonts w:ascii="Arial" w:hAnsi="Arial"/>
      <w:i/>
      <w:iCs/>
      <w:color w:val="404040" w:themeColor="text1" w:themeTint="BF"/>
      <w:sz w:val="24"/>
    </w:rPr>
  </w:style>
  <w:style w:type="character" w:styleId="Emphasis">
    <w:name w:val="Emphasis"/>
    <w:basedOn w:val="DefaultParagraphFont"/>
    <w:uiPriority w:val="20"/>
    <w:qFormat/>
    <w:rsid w:val="002241C1"/>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2241C1"/>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5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character" w:customStyle="1" w:styleId="NoSpacingChar">
    <w:name w:val="No Spacing Char"/>
    <w:basedOn w:val="DefaultParagraphFont"/>
    <w:link w:val="NoSpacing"/>
    <w:uiPriority w:val="1"/>
    <w:rsid w:val="00EA33A2"/>
    <w:rPr>
      <w:rFonts w:ascii="Arial" w:hAnsi="Arial"/>
      <w:color w:val="404040" w:themeColor="text1" w:themeTint="BF"/>
    </w:rPr>
  </w:style>
  <w:style w:type="table" w:customStyle="1" w:styleId="PlainTable1">
    <w:name w:val="Plain Table 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211BE"/>
    <w:pPr>
      <w:spacing w:after="200" w:line="240" w:lineRule="auto"/>
    </w:pPr>
    <w:rPr>
      <w:iCs/>
      <w:szCs w:val="18"/>
    </w:rPr>
  </w:style>
  <w:style w:type="paragraph" w:styleId="BodyText">
    <w:name w:val="Body Text"/>
    <w:basedOn w:val="Normal"/>
    <w:link w:val="BodyTextChar"/>
    <w:autoRedefine/>
    <w:rsid w:val="007D60E5"/>
    <w:pPr>
      <w:spacing w:after="240" w:line="240" w:lineRule="auto"/>
    </w:pPr>
    <w:rPr>
      <w:rFonts w:eastAsia="Cambria" w:cs="Times New Roman"/>
      <w:color w:val="000000" w:themeColor="text1"/>
      <w:sz w:val="22"/>
      <w:szCs w:val="24"/>
      <w:lang w:val="en-GB" w:eastAsia="en-AU"/>
    </w:rPr>
  </w:style>
  <w:style w:type="character" w:customStyle="1" w:styleId="BodyTextChar">
    <w:name w:val="Body Text Char"/>
    <w:basedOn w:val="DefaultParagraphFont"/>
    <w:link w:val="BodyText"/>
    <w:rsid w:val="007D60E5"/>
    <w:rPr>
      <w:rFonts w:ascii="Arial" w:eastAsia="Cambria" w:hAnsi="Arial" w:cs="Times New Roman"/>
      <w:color w:val="000000" w:themeColor="text1"/>
      <w:szCs w:val="24"/>
      <w:lang w:val="en-GB" w:eastAsia="en-AU"/>
    </w:rPr>
  </w:style>
  <w:style w:type="paragraph" w:styleId="ListBullet">
    <w:name w:val="List Bullet"/>
    <w:basedOn w:val="BodyText"/>
    <w:autoRedefine/>
    <w:rsid w:val="007D60E5"/>
    <w:pPr>
      <w:ind w:left="360" w:hanging="360"/>
    </w:pPr>
    <w:rPr>
      <w:b/>
      <w:color w:val="007D57"/>
      <w:sz w:val="32"/>
      <w:szCs w:val="32"/>
    </w:rPr>
  </w:style>
  <w:style w:type="paragraph" w:styleId="BalloonText">
    <w:name w:val="Balloon Text"/>
    <w:basedOn w:val="Normal"/>
    <w:link w:val="BalloonTextChar"/>
    <w:uiPriority w:val="99"/>
    <w:semiHidden/>
    <w:unhideWhenUsed/>
    <w:rsid w:val="00A6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C4"/>
    <w:rPr>
      <w:rFonts w:ascii="Tahoma" w:hAnsi="Tahoma" w:cs="Tahoma"/>
      <w:color w:val="404040" w:themeColor="text1" w:themeTint="BF"/>
      <w:sz w:val="16"/>
      <w:szCs w:val="16"/>
    </w:rPr>
  </w:style>
  <w:style w:type="paragraph" w:customStyle="1" w:styleId="Default">
    <w:name w:val="Default"/>
    <w:rsid w:val="00EB41B5"/>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C1"/>
    <w:rPr>
      <w:rFonts w:ascii="Arial" w:hAnsi="Arial"/>
      <w:color w:val="404040" w:themeColor="text1" w:themeTint="BF"/>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081312"/>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081312"/>
    <w:pPr>
      <w:keepNext/>
      <w:keepLines/>
      <w:spacing w:before="160" w:after="120"/>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081312"/>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081312"/>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2241C1"/>
    <w:rPr>
      <w:rFonts w:ascii="Arial" w:hAnsi="Arial"/>
      <w:i/>
      <w:iCs/>
      <w:color w:val="404040" w:themeColor="text1" w:themeTint="BF"/>
      <w:sz w:val="24"/>
    </w:rPr>
  </w:style>
  <w:style w:type="character" w:styleId="Emphasis">
    <w:name w:val="Emphasis"/>
    <w:basedOn w:val="DefaultParagraphFont"/>
    <w:uiPriority w:val="20"/>
    <w:qFormat/>
    <w:rsid w:val="002241C1"/>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2241C1"/>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5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character" w:customStyle="1" w:styleId="NoSpacingChar">
    <w:name w:val="No Spacing Char"/>
    <w:basedOn w:val="DefaultParagraphFont"/>
    <w:link w:val="NoSpacing"/>
    <w:uiPriority w:val="1"/>
    <w:rsid w:val="00EA33A2"/>
    <w:rPr>
      <w:rFonts w:ascii="Arial" w:hAnsi="Arial"/>
      <w:color w:val="404040" w:themeColor="text1" w:themeTint="BF"/>
    </w:rPr>
  </w:style>
  <w:style w:type="table" w:customStyle="1" w:styleId="PlainTable1">
    <w:name w:val="Plain Table 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211BE"/>
    <w:pPr>
      <w:spacing w:after="200" w:line="240" w:lineRule="auto"/>
    </w:pPr>
    <w:rPr>
      <w:iCs/>
      <w:szCs w:val="18"/>
    </w:rPr>
  </w:style>
  <w:style w:type="paragraph" w:styleId="BodyText">
    <w:name w:val="Body Text"/>
    <w:basedOn w:val="Normal"/>
    <w:link w:val="BodyTextChar"/>
    <w:autoRedefine/>
    <w:rsid w:val="007D60E5"/>
    <w:pPr>
      <w:spacing w:after="240" w:line="240" w:lineRule="auto"/>
    </w:pPr>
    <w:rPr>
      <w:rFonts w:eastAsia="Cambria" w:cs="Times New Roman"/>
      <w:color w:val="000000" w:themeColor="text1"/>
      <w:sz w:val="22"/>
      <w:szCs w:val="24"/>
      <w:lang w:val="en-GB" w:eastAsia="en-AU"/>
    </w:rPr>
  </w:style>
  <w:style w:type="character" w:customStyle="1" w:styleId="BodyTextChar">
    <w:name w:val="Body Text Char"/>
    <w:basedOn w:val="DefaultParagraphFont"/>
    <w:link w:val="BodyText"/>
    <w:rsid w:val="007D60E5"/>
    <w:rPr>
      <w:rFonts w:ascii="Arial" w:eastAsia="Cambria" w:hAnsi="Arial" w:cs="Times New Roman"/>
      <w:color w:val="000000" w:themeColor="text1"/>
      <w:szCs w:val="24"/>
      <w:lang w:val="en-GB" w:eastAsia="en-AU"/>
    </w:rPr>
  </w:style>
  <w:style w:type="paragraph" w:styleId="ListBullet">
    <w:name w:val="List Bullet"/>
    <w:basedOn w:val="BodyText"/>
    <w:autoRedefine/>
    <w:rsid w:val="007D60E5"/>
    <w:pPr>
      <w:ind w:left="360" w:hanging="360"/>
    </w:pPr>
    <w:rPr>
      <w:b/>
      <w:color w:val="007D57"/>
      <w:sz w:val="32"/>
      <w:szCs w:val="32"/>
    </w:rPr>
  </w:style>
  <w:style w:type="paragraph" w:styleId="BalloonText">
    <w:name w:val="Balloon Text"/>
    <w:basedOn w:val="Normal"/>
    <w:link w:val="BalloonTextChar"/>
    <w:uiPriority w:val="99"/>
    <w:semiHidden/>
    <w:unhideWhenUsed/>
    <w:rsid w:val="00A6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C4"/>
    <w:rPr>
      <w:rFonts w:ascii="Tahoma" w:hAnsi="Tahoma" w:cs="Tahoma"/>
      <w:color w:val="404040" w:themeColor="text1" w:themeTint="BF"/>
      <w:sz w:val="16"/>
      <w:szCs w:val="16"/>
    </w:rPr>
  </w:style>
  <w:style w:type="paragraph" w:customStyle="1" w:styleId="Default">
    <w:name w:val="Default"/>
    <w:rsid w:val="00EB41B5"/>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ciara.beard@agric.wa.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rmingahead.com.au/uploads/article_item/news/530/FA122-32.pdf" TargetMode="External"/><Relationship Id="rId17" Type="http://schemas.openxmlformats.org/officeDocument/2006/relationships/hyperlink" Target="mailto:kithsiri.jayasena@agric.wa.gov.au" TargetMode="External"/><Relationship Id="rId2" Type="http://schemas.openxmlformats.org/officeDocument/2006/relationships/numbering" Target="numbering.xml"/><Relationship Id="rId16" Type="http://schemas.openxmlformats.org/officeDocument/2006/relationships/hyperlink" Target="mailto:andrea.hills@agric.wa.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mingahead.com.au/uploads/article_item/news/530/FA122-32.pdf" TargetMode="External"/><Relationship Id="rId5" Type="http://schemas.openxmlformats.org/officeDocument/2006/relationships/settings" Target="settings.xml"/><Relationship Id="rId15" Type="http://schemas.openxmlformats.org/officeDocument/2006/relationships/hyperlink" Target="mailto:geoff.j.thomas@agric.wa.gov.au" TargetMode="External"/><Relationship Id="rId10" Type="http://schemas.openxmlformats.org/officeDocument/2006/relationships/image" Target="media/image1.jpeg"/><Relationship Id="rId19" Type="http://schemas.openxmlformats.org/officeDocument/2006/relationships/hyperlink" Target="mailto:blakely.paynter@agric.wa.gov.au" TargetMode="External"/><Relationship Id="rId4" Type="http://schemas.microsoft.com/office/2007/relationships/stylesWithEffects" Target="stylesWithEffects.xml"/><Relationship Id="rId9" Type="http://schemas.openxmlformats.org/officeDocument/2006/relationships/hyperlink" Target="https://www.agric.wa.gov.au/barley/seed-dressing-and-furrow-fungicides-cereals-wa?page=0%2C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ransson\Desktop\The%20Hub%20-%20Accessible%20templates\CorpFactSheet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94A9-F7FA-4F0E-905B-50D5035E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CorpFactSheetOnline.dotx</Template>
  <TotalTime>0</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Fransson, Karolina</dc:creator>
  <cp:lastModifiedBy>AHills</cp:lastModifiedBy>
  <cp:revision>2</cp:revision>
  <dcterms:created xsi:type="dcterms:W3CDTF">2014-11-24T00:09:00Z</dcterms:created>
  <dcterms:modified xsi:type="dcterms:W3CDTF">2014-11-24T00:09:00Z</dcterms:modified>
</cp:coreProperties>
</file>