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543B" w14:textId="77777777" w:rsidR="00072688" w:rsidRPr="00072688" w:rsidRDefault="00072688" w:rsidP="009539BB">
      <w:pPr>
        <w:pStyle w:val="Title"/>
      </w:pPr>
    </w:p>
    <w:sdt>
      <w:sdtPr>
        <w:rPr>
          <w:rFonts w:eastAsiaTheme="minorHAnsi" w:cstheme="minorBidi"/>
          <w:b w:val="0"/>
          <w:color w:val="000000" w:themeColor="text1"/>
          <w:sz w:val="24"/>
          <w:szCs w:val="22"/>
        </w:rPr>
        <w:id w:val="-1865663256"/>
        <w:docPartObj>
          <w:docPartGallery w:val="Cover Pages"/>
          <w:docPartUnique/>
        </w:docPartObj>
      </w:sdtPr>
      <w:sdtEndPr>
        <w:rPr>
          <w:b/>
        </w:rPr>
      </w:sdtEndPr>
      <w:sdtContent>
        <w:p w14:paraId="1E8025D7" w14:textId="77777777" w:rsidR="001F0D67" w:rsidRDefault="001F0D67" w:rsidP="001F0D67">
          <w:pPr>
            <w:pStyle w:val="Heading1"/>
            <w:spacing w:before="0"/>
          </w:pPr>
        </w:p>
        <w:sdt>
          <w:sdtPr>
            <w:rPr>
              <w:color w:val="404040" w:themeColor="text1" w:themeTint="BF"/>
            </w:rPr>
            <w:id w:val="-2083744090"/>
            <w:docPartObj>
              <w:docPartGallery w:val="Cover Pages"/>
              <w:docPartUnique/>
            </w:docPartObj>
          </w:sdtPr>
          <w:sdtEndPr>
            <w:rPr>
              <w:b w:val="0"/>
              <w:color w:val="000000" w:themeColor="text1"/>
              <w:sz w:val="22"/>
            </w:rPr>
          </w:sdtEndPr>
          <w:sdtContent>
            <w:p w14:paraId="01D443D8" w14:textId="750BE3CE" w:rsidR="00825066" w:rsidRPr="007806FD" w:rsidRDefault="00825066" w:rsidP="00825066">
              <w:pPr>
                <w:pStyle w:val="Tableheading"/>
                <w:rPr>
                  <w:rStyle w:val="TitleChar"/>
                </w:rPr>
              </w:pPr>
              <w:r w:rsidRPr="007806FD">
                <w:rPr>
                  <w:rStyle w:val="TitleChar"/>
                </w:rPr>
                <w:t>A Guide to Problem Diagnosis in the Field</w:t>
              </w:r>
            </w:p>
            <w:p w14:paraId="473B64D3" w14:textId="77777777" w:rsidR="00825066" w:rsidRPr="00CC61C4" w:rsidRDefault="00825066" w:rsidP="00825066">
              <w:pPr>
                <w:rPr>
                  <w:szCs w:val="24"/>
                </w:rPr>
              </w:pPr>
              <w:r w:rsidRPr="00CC61C4">
                <w:rPr>
                  <w:szCs w:val="24"/>
                </w:rPr>
                <w:t>Date</w:t>
              </w:r>
              <w:r>
                <w:rPr>
                  <w:szCs w:val="24"/>
                </w:rPr>
                <w:t>:</w:t>
              </w:r>
              <w:r w:rsidRPr="00CC61C4">
                <w:rPr>
                  <w:szCs w:val="24"/>
                </w:rPr>
                <w:t xml:space="preserve"> </w:t>
              </w:r>
              <w:r>
                <w:rPr>
                  <w:szCs w:val="24"/>
                </w:rPr>
                <w:t>9</w:t>
              </w:r>
              <w:r w:rsidRPr="001518B1">
                <w:rPr>
                  <w:szCs w:val="24"/>
                  <w:vertAlign w:val="superscript"/>
                </w:rPr>
                <w:t>th</w:t>
              </w:r>
              <w:r>
                <w:rPr>
                  <w:szCs w:val="24"/>
                </w:rPr>
                <w:t xml:space="preserve"> April</w:t>
              </w:r>
              <w:r w:rsidRPr="00CC61C4">
                <w:rPr>
                  <w:szCs w:val="24"/>
                </w:rPr>
                <w:t xml:space="preserve"> 2015</w:t>
              </w:r>
            </w:p>
            <w:p w14:paraId="4C97C4B3" w14:textId="77777777" w:rsidR="00825066" w:rsidRPr="00CC61C4" w:rsidRDefault="00825066" w:rsidP="00825066">
              <w:pPr>
                <w:rPr>
                  <w:szCs w:val="24"/>
                </w:rPr>
              </w:pPr>
              <w:r w:rsidRPr="00CC61C4">
                <w:rPr>
                  <w:szCs w:val="24"/>
                </w:rPr>
                <w:t>There are many experienced agronomists and farmers who effectively diagnose crop problems based on years of field experience.</w:t>
              </w:r>
            </w:p>
            <w:p w14:paraId="7561F3E5" w14:textId="77777777" w:rsidR="00825066" w:rsidRPr="00CC61C4" w:rsidRDefault="00825066" w:rsidP="00825066">
              <w:pPr>
                <w:rPr>
                  <w:szCs w:val="24"/>
                </w:rPr>
              </w:pPr>
              <w:r w:rsidRPr="00CC61C4">
                <w:rPr>
                  <w:szCs w:val="24"/>
                </w:rPr>
                <w:t>Inexperienced people are often lack experience or a mentor who can show them the ‘tricks of the trade’ that are needed to get the best out of diagnostic decision aids</w:t>
              </w:r>
            </w:p>
            <w:p w14:paraId="49D69579" w14:textId="77777777" w:rsidR="00825066" w:rsidRPr="00CC61C4" w:rsidRDefault="00825066" w:rsidP="00825066">
              <w:pPr>
                <w:rPr>
                  <w:szCs w:val="24"/>
                </w:rPr>
              </w:pPr>
              <w:r w:rsidRPr="00CC61C4">
                <w:rPr>
                  <w:szCs w:val="24"/>
                </w:rPr>
                <w:t>Unfortunately, a paddock often has a number of problems, and may even have several problems in the same area. As well, a combination of factors can contribute to a plant symptom. For example, an apparent nutrient deficiency, may be induced by other factors such as root disease, nematodes or herbicides</w:t>
              </w:r>
            </w:p>
            <w:p w14:paraId="48311168" w14:textId="77777777" w:rsidR="00825066" w:rsidRPr="00CC61C4" w:rsidRDefault="00825066" w:rsidP="00825066">
              <w:pPr>
                <w:rPr>
                  <w:szCs w:val="24"/>
                </w:rPr>
              </w:pPr>
              <w:r w:rsidRPr="00CC61C4">
                <w:rPr>
                  <w:szCs w:val="24"/>
                </w:rPr>
                <w:t>Tips below summarise an effective method for identifying problems in the field using a method that has been used for years in training courses with the title ‘Detective Doug’.</w:t>
              </w:r>
            </w:p>
            <w:p w14:paraId="1D75A371" w14:textId="77777777" w:rsidR="00825066" w:rsidRPr="00CC61C4" w:rsidRDefault="00825066" w:rsidP="00825066">
              <w:pPr>
                <w:rPr>
                  <w:szCs w:val="24"/>
                </w:rPr>
              </w:pPr>
              <w:r w:rsidRPr="00CC61C4">
                <w:rPr>
                  <w:szCs w:val="24"/>
                </w:rPr>
                <w:t>This method in conjunction with our crop diagnosis tools will maximise the chance of successful diagnosis, and fast-track learning.</w:t>
              </w:r>
            </w:p>
            <w:p w14:paraId="450BE5AA" w14:textId="77777777" w:rsidR="00825066" w:rsidRPr="00D0134A" w:rsidRDefault="00825066" w:rsidP="00D0134A">
              <w:pPr>
                <w:pStyle w:val="Heading1"/>
              </w:pPr>
              <w:r w:rsidRPr="00D0134A">
                <w:t>Field diagnosis tips</w:t>
              </w:r>
            </w:p>
            <w:p w14:paraId="74768CC3" w14:textId="77777777" w:rsidR="00825066" w:rsidRPr="00D0134A" w:rsidRDefault="00825066" w:rsidP="00D0134A">
              <w:pPr>
                <w:pStyle w:val="Heading2"/>
              </w:pPr>
              <w:r w:rsidRPr="00D0134A">
                <w:t>Don’t jump to conclusions; use all sources of evidence.</w:t>
              </w:r>
            </w:p>
            <w:p w14:paraId="03030529" w14:textId="77777777" w:rsidR="00825066" w:rsidRPr="00CC61C4" w:rsidRDefault="00825066" w:rsidP="00825066">
              <w:pPr>
                <w:autoSpaceDE w:val="0"/>
                <w:autoSpaceDN w:val="0"/>
                <w:adjustRightInd w:val="0"/>
                <w:spacing w:after="0"/>
                <w:rPr>
                  <w:kern w:val="24"/>
                  <w:szCs w:val="24"/>
                </w:rPr>
              </w:pPr>
              <w:r w:rsidRPr="00CC61C4">
                <w:rPr>
                  <w:kern w:val="24"/>
                  <w:szCs w:val="24"/>
                </w:rPr>
                <w:t>When presented with a problem, most people quickly form an opinion based on their existing knowledge and observations or opinions of others. This often biases the investigation and causes them to miss clues that don’t fit their opinion. This is particularly relevant when there are symptoms from more than one cause, and where a symptom may be induced by another factor such as root pruning. Ensure that you keep an open mind and follow the points below to avoid the wrong diagnosis</w:t>
              </w:r>
              <w:r>
                <w:rPr>
                  <w:kern w:val="24"/>
                  <w:szCs w:val="24"/>
                </w:rPr>
                <w:t>.</w:t>
              </w:r>
            </w:p>
            <w:p w14:paraId="25E9B429" w14:textId="77777777" w:rsidR="00825066" w:rsidRPr="00CC61C4" w:rsidRDefault="00825066" w:rsidP="00825066">
              <w:pPr>
                <w:autoSpaceDE w:val="0"/>
                <w:autoSpaceDN w:val="0"/>
                <w:adjustRightInd w:val="0"/>
                <w:spacing w:after="0"/>
                <w:rPr>
                  <w:kern w:val="24"/>
                  <w:szCs w:val="24"/>
                </w:rPr>
              </w:pPr>
            </w:p>
            <w:p w14:paraId="11B16091" w14:textId="77777777" w:rsidR="00825066" w:rsidRPr="00CC61C4" w:rsidRDefault="00825066" w:rsidP="00D0134A">
              <w:pPr>
                <w:pStyle w:val="Heading2"/>
              </w:pPr>
              <w:r w:rsidRPr="00CC61C4">
                <w:t xml:space="preserve">Compare </w:t>
              </w:r>
              <w:r>
                <w:t>plants from good and poor areas</w:t>
              </w:r>
              <w:r w:rsidRPr="00CC61C4">
                <w:t xml:space="preserve"> to determine which symptoms are relevant</w:t>
              </w:r>
            </w:p>
            <w:p w14:paraId="5CD252B9" w14:textId="77777777" w:rsidR="00825066" w:rsidRPr="00CC61C4" w:rsidRDefault="00825066" w:rsidP="00825066">
              <w:pPr>
                <w:autoSpaceDE w:val="0"/>
                <w:autoSpaceDN w:val="0"/>
                <w:adjustRightInd w:val="0"/>
                <w:spacing w:after="0"/>
                <w:rPr>
                  <w:kern w:val="24"/>
                  <w:szCs w:val="24"/>
                </w:rPr>
              </w:pPr>
              <w:r w:rsidRPr="00CC61C4">
                <w:rPr>
                  <w:kern w:val="24"/>
                  <w:szCs w:val="24"/>
                </w:rPr>
                <w:t xml:space="preserve">Plants often have a range of symptoms, some of which may not be relevant to the main problem, or indicate that there is more than one problem affecting them. </w:t>
              </w:r>
              <w:r>
                <w:rPr>
                  <w:kern w:val="24"/>
                  <w:szCs w:val="24"/>
                </w:rPr>
                <w:t xml:space="preserve"> </w:t>
              </w:r>
              <w:r w:rsidRPr="00CC61C4">
                <w:rPr>
                  <w:kern w:val="24"/>
                  <w:szCs w:val="24"/>
                </w:rPr>
                <w:t>Always compare plants from good and poor areas to detect symptoms that are associated with the poor growth. It is also important to do this when plant testing to verify a diagnosis.</w:t>
              </w:r>
            </w:p>
            <w:p w14:paraId="0BBC57F4" w14:textId="77777777" w:rsidR="00825066" w:rsidRPr="00CC61C4" w:rsidRDefault="00825066" w:rsidP="00825066">
              <w:pPr>
                <w:autoSpaceDE w:val="0"/>
                <w:autoSpaceDN w:val="0"/>
                <w:adjustRightInd w:val="0"/>
                <w:spacing w:after="0"/>
                <w:rPr>
                  <w:kern w:val="24"/>
                  <w:szCs w:val="24"/>
                </w:rPr>
              </w:pPr>
            </w:p>
            <w:p w14:paraId="5386EFD3" w14:textId="77777777" w:rsidR="00825066" w:rsidRPr="00CC61C4" w:rsidRDefault="00825066" w:rsidP="00D0134A">
              <w:pPr>
                <w:pStyle w:val="Heading2"/>
              </w:pPr>
              <w:r w:rsidRPr="00CC61C4">
                <w:t>Check the whole paddock for paddock clues</w:t>
              </w:r>
            </w:p>
            <w:p w14:paraId="7AAB56BA" w14:textId="77777777" w:rsidR="00825066" w:rsidRPr="00CC61C4" w:rsidRDefault="00825066" w:rsidP="00825066">
              <w:pPr>
                <w:rPr>
                  <w:szCs w:val="24"/>
                </w:rPr>
              </w:pPr>
              <w:r w:rsidRPr="00CC61C4">
                <w:rPr>
                  <w:szCs w:val="24"/>
                </w:rPr>
                <w:t>Paddock clues arise from plant growth patterns that are due to variations in soil type and from management effects from a range of activities in crop and pasture production. Searching a paddock for variation is a valuable way of confirming or eliminating possible causes of problems. Some examples of variation include the effects caused by herbicide use, sowing, topdressing overlaps, soil type, cultivation or old windrows</w:t>
              </w:r>
            </w:p>
            <w:p w14:paraId="1A2B1F0D" w14:textId="521DD7AD" w:rsidR="00825066" w:rsidRPr="00CC61C4" w:rsidRDefault="00825066" w:rsidP="00825066">
              <w:pPr>
                <w:autoSpaceDE w:val="0"/>
                <w:autoSpaceDN w:val="0"/>
                <w:adjustRightInd w:val="0"/>
                <w:spacing w:after="0"/>
                <w:rPr>
                  <w:kern w:val="24"/>
                  <w:szCs w:val="24"/>
                </w:rPr>
              </w:pPr>
              <w:r w:rsidRPr="00CC61C4">
                <w:rPr>
                  <w:kern w:val="24"/>
                  <w:szCs w:val="24"/>
                </w:rPr>
                <w:t>This is important to these for two reasons</w:t>
              </w:r>
              <w:r w:rsidR="003107C2">
                <w:rPr>
                  <w:kern w:val="24"/>
                  <w:szCs w:val="24"/>
                </w:rPr>
                <w:t>;</w:t>
              </w:r>
            </w:p>
            <w:p w14:paraId="0352E468" w14:textId="77777777" w:rsidR="00825066" w:rsidRPr="00CC61C4" w:rsidRDefault="00825066" w:rsidP="00825066">
              <w:pPr>
                <w:numPr>
                  <w:ilvl w:val="0"/>
                  <w:numId w:val="7"/>
                </w:numPr>
                <w:autoSpaceDE w:val="0"/>
                <w:autoSpaceDN w:val="0"/>
                <w:adjustRightInd w:val="0"/>
                <w:spacing w:after="0"/>
                <w:rPr>
                  <w:kern w:val="24"/>
                  <w:szCs w:val="24"/>
                </w:rPr>
              </w:pPr>
              <w:r w:rsidRPr="00CC61C4">
                <w:rPr>
                  <w:kern w:val="24"/>
                  <w:szCs w:val="24"/>
                </w:rPr>
                <w:lastRenderedPageBreak/>
                <w:t>These clues are very useful in differentiating between problems with similar plant symptoms (e.g. water logging vs. nitrogen deficiency)</w:t>
              </w:r>
            </w:p>
            <w:p w14:paraId="1E11237A" w14:textId="77777777" w:rsidR="00825066" w:rsidRPr="00CC61C4" w:rsidRDefault="00825066" w:rsidP="00825066">
              <w:pPr>
                <w:numPr>
                  <w:ilvl w:val="0"/>
                  <w:numId w:val="7"/>
                </w:numPr>
                <w:autoSpaceDE w:val="0"/>
                <w:autoSpaceDN w:val="0"/>
                <w:adjustRightInd w:val="0"/>
                <w:spacing w:after="0"/>
                <w:rPr>
                  <w:kern w:val="24"/>
                  <w:szCs w:val="24"/>
                </w:rPr>
              </w:pPr>
              <w:r w:rsidRPr="00CC61C4">
                <w:rPr>
                  <w:kern w:val="24"/>
                  <w:szCs w:val="24"/>
                </w:rPr>
                <w:t>Changes in patterns across the paddock can indicate that there may be more than one problem present.</w:t>
              </w:r>
            </w:p>
            <w:p w14:paraId="128AD3EB" w14:textId="77777777" w:rsidR="00825066" w:rsidRPr="00CC61C4" w:rsidRDefault="00825066" w:rsidP="00825066">
              <w:pPr>
                <w:autoSpaceDE w:val="0"/>
                <w:autoSpaceDN w:val="0"/>
                <w:adjustRightInd w:val="0"/>
                <w:spacing w:after="0"/>
                <w:rPr>
                  <w:kern w:val="24"/>
                  <w:szCs w:val="24"/>
                </w:rPr>
              </w:pPr>
            </w:p>
            <w:p w14:paraId="72F0AB9F" w14:textId="77777777" w:rsidR="00825066" w:rsidRPr="00CC61C4" w:rsidRDefault="00825066" w:rsidP="003107C2">
              <w:pPr>
                <w:pStyle w:val="Heading2"/>
              </w:pPr>
              <w:r w:rsidRPr="00CC61C4">
                <w:t>Always check plant roots</w:t>
              </w:r>
            </w:p>
            <w:p w14:paraId="15F4D705" w14:textId="77777777" w:rsidR="00825066" w:rsidRPr="00CC61C4" w:rsidRDefault="00825066" w:rsidP="00825066">
              <w:pPr>
                <w:autoSpaceDE w:val="0"/>
                <w:autoSpaceDN w:val="0"/>
                <w:adjustRightInd w:val="0"/>
                <w:spacing w:after="0"/>
                <w:rPr>
                  <w:kern w:val="24"/>
                  <w:szCs w:val="24"/>
                </w:rPr>
              </w:pPr>
              <w:r w:rsidRPr="00CC61C4">
                <w:rPr>
                  <w:kern w:val="24"/>
                  <w:szCs w:val="24"/>
                </w:rPr>
                <w:t>This is a critical but frequently neglected check that is often avoided because it can take time and preparation. Use a spade to keep roots intact as possible – never pull the plant out of the ground.</w:t>
              </w:r>
              <w:r>
                <w:rPr>
                  <w:kern w:val="24"/>
                  <w:szCs w:val="24"/>
                </w:rPr>
                <w:t xml:space="preserve"> </w:t>
              </w:r>
              <w:r w:rsidRPr="00CC61C4">
                <w:rPr>
                  <w:kern w:val="24"/>
                  <w:szCs w:val="24"/>
                </w:rPr>
                <w:t>Best results come from washing the roots out with a hose or bucket of water, but carefully shaking the plant and spraying roots using a spray bottle is also useful.</w:t>
              </w:r>
            </w:p>
            <w:p w14:paraId="6CE98FCA" w14:textId="77777777" w:rsidR="00825066" w:rsidRPr="00CC61C4" w:rsidRDefault="00825066" w:rsidP="00825066">
              <w:pPr>
                <w:autoSpaceDE w:val="0"/>
                <w:autoSpaceDN w:val="0"/>
                <w:adjustRightInd w:val="0"/>
                <w:spacing w:after="0"/>
                <w:rPr>
                  <w:kern w:val="24"/>
                  <w:szCs w:val="24"/>
                </w:rPr>
              </w:pPr>
            </w:p>
            <w:p w14:paraId="573E2255" w14:textId="77777777" w:rsidR="00825066" w:rsidRPr="00CC61C4" w:rsidRDefault="00825066" w:rsidP="003107C2">
              <w:pPr>
                <w:pStyle w:val="Heading2"/>
              </w:pPr>
              <w:r w:rsidRPr="00CC61C4">
                <w:t xml:space="preserve">Double check management records, diagnostic tests </w:t>
              </w:r>
            </w:p>
            <w:p w14:paraId="05B7EABA" w14:textId="77777777" w:rsidR="00825066" w:rsidRPr="00CC61C4" w:rsidRDefault="00825066" w:rsidP="00825066">
              <w:pPr>
                <w:autoSpaceDE w:val="0"/>
                <w:autoSpaceDN w:val="0"/>
                <w:adjustRightInd w:val="0"/>
                <w:spacing w:after="0"/>
                <w:rPr>
                  <w:kern w:val="24"/>
                  <w:szCs w:val="24"/>
                </w:rPr>
              </w:pPr>
              <w:r w:rsidRPr="00CC61C4">
                <w:rPr>
                  <w:kern w:val="24"/>
                  <w:szCs w:val="24"/>
                </w:rPr>
                <w:t xml:space="preserve">If possible, check paddock management records. To confirm a problems use tests for problems such as nutrient deficiencies, soil acidity or other soil constraints, or nematodes </w:t>
              </w:r>
            </w:p>
            <w:p w14:paraId="461A8A26" w14:textId="77777777" w:rsidR="00DE2B40" w:rsidRDefault="00DE2B40" w:rsidP="00825066">
              <w:pPr>
                <w:rPr>
                  <w:rStyle w:val="Heading2Char"/>
                </w:rPr>
              </w:pPr>
            </w:p>
            <w:p w14:paraId="7B0D61E3" w14:textId="4A5BFD8B" w:rsidR="00825066" w:rsidRPr="004271B5" w:rsidRDefault="00825066" w:rsidP="00825066">
              <w:pPr>
                <w:rPr>
                  <w:sz w:val="22"/>
                </w:rPr>
              </w:pPr>
              <w:r w:rsidRPr="003E303D">
                <w:rPr>
                  <w:rStyle w:val="Heading2Char"/>
                </w:rPr>
                <w:t>Important disclaimer</w:t>
              </w:r>
              <w:r>
                <w:rPr>
                  <w:rStyle w:val="Emphasis"/>
                </w:rPr>
                <w:br/>
              </w:r>
              <w:r w:rsidRPr="004271B5">
                <w:rPr>
                  <w:sz w:val="22"/>
                </w:rPr>
                <w:br/>
                <w:t>The Chief Executive Officer of the Department of Agriculture and Food and the State of Western Australia accept no liability whatsoever by reason of negligence or otherwise arising from the use or release of this information or any part of it.</w:t>
              </w:r>
            </w:p>
            <w:p w14:paraId="3580516A" w14:textId="274BD694" w:rsidR="004E557B" w:rsidRPr="00DE2B40" w:rsidRDefault="00825066" w:rsidP="00DE2B40">
              <w:pPr>
                <w:rPr>
                  <w:sz w:val="22"/>
                </w:rPr>
              </w:pPr>
              <w:r w:rsidRPr="004271B5">
                <w:rPr>
                  <w:color w:val="595959" w:themeColor="text1" w:themeTint="A6"/>
                  <w:sz w:val="22"/>
                </w:rPr>
                <w:t>Copyright © Western Australian Agriculture Authority, 2014</w:t>
              </w:r>
            </w:p>
          </w:sdtContent>
        </w:sdt>
      </w:sdtContent>
    </w:sdt>
    <w:sectPr w:rsidR="004E557B" w:rsidRPr="00DE2B40" w:rsidSect="00510501">
      <w:footerReference w:type="default" r:id="rId8"/>
      <w:headerReference w:type="first" r:id="rId9"/>
      <w:type w:val="continuous"/>
      <w:pgSz w:w="11906" w:h="16838" w:code="9"/>
      <w:pgMar w:top="1134" w:right="1304" w:bottom="720" w:left="130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7321" w14:textId="77777777" w:rsidR="00716DD4" w:rsidRDefault="00716DD4" w:rsidP="00B753F9">
      <w:r>
        <w:separator/>
      </w:r>
    </w:p>
  </w:endnote>
  <w:endnote w:type="continuationSeparator" w:id="0">
    <w:p w14:paraId="24BB232A" w14:textId="77777777" w:rsidR="00716DD4" w:rsidRDefault="00716DD4" w:rsidP="00B7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48191"/>
      <w:docPartObj>
        <w:docPartGallery w:val="Page Numbers (Bottom of Page)"/>
        <w:docPartUnique/>
      </w:docPartObj>
    </w:sdtPr>
    <w:sdtEndPr/>
    <w:sdtContent>
      <w:sdt>
        <w:sdtPr>
          <w:id w:val="860082579"/>
          <w:docPartObj>
            <w:docPartGallery w:val="Page Numbers (Top of Page)"/>
            <w:docPartUnique/>
          </w:docPartObj>
        </w:sdtPr>
        <w:sdtEndPr/>
        <w:sdtContent>
          <w:p w14:paraId="27095B62" w14:textId="77777777" w:rsidR="00190A81" w:rsidRPr="00190A81" w:rsidRDefault="004E557B" w:rsidP="00B753F9">
            <w:pPr>
              <w:pStyle w:val="Footer"/>
              <w:jc w:val="right"/>
            </w:pPr>
            <w:r w:rsidRPr="00B753F9">
              <w:rPr>
                <w:sz w:val="22"/>
              </w:rPr>
              <w:t xml:space="preserve">Page </w:t>
            </w:r>
            <w:r w:rsidRPr="00B753F9">
              <w:rPr>
                <w:sz w:val="22"/>
              </w:rPr>
              <w:fldChar w:fldCharType="begin"/>
            </w:r>
            <w:r w:rsidRPr="00B753F9">
              <w:rPr>
                <w:sz w:val="22"/>
              </w:rPr>
              <w:instrText xml:space="preserve"> PAGE </w:instrText>
            </w:r>
            <w:r w:rsidRPr="00B753F9">
              <w:rPr>
                <w:sz w:val="22"/>
              </w:rPr>
              <w:fldChar w:fldCharType="separate"/>
            </w:r>
            <w:r w:rsidR="00C72B00" w:rsidRPr="00B753F9">
              <w:rPr>
                <w:noProof/>
                <w:sz w:val="22"/>
              </w:rPr>
              <w:t>2</w:t>
            </w:r>
            <w:r w:rsidRPr="00B753F9">
              <w:rPr>
                <w:sz w:val="22"/>
              </w:rPr>
              <w:fldChar w:fldCharType="end"/>
            </w:r>
            <w:r w:rsidRPr="00B753F9">
              <w:rPr>
                <w:sz w:val="22"/>
              </w:rPr>
              <w:t xml:space="preserve"> of </w:t>
            </w:r>
            <w:r w:rsidRPr="00B753F9">
              <w:rPr>
                <w:sz w:val="22"/>
              </w:rPr>
              <w:fldChar w:fldCharType="begin"/>
            </w:r>
            <w:r w:rsidRPr="00B753F9">
              <w:rPr>
                <w:sz w:val="22"/>
              </w:rPr>
              <w:instrText xml:space="preserve"> NUMPAGES  </w:instrText>
            </w:r>
            <w:r w:rsidRPr="00B753F9">
              <w:rPr>
                <w:sz w:val="22"/>
              </w:rPr>
              <w:fldChar w:fldCharType="separate"/>
            </w:r>
            <w:r w:rsidR="00C72B00" w:rsidRPr="00B753F9">
              <w:rPr>
                <w:noProof/>
                <w:sz w:val="22"/>
              </w:rPr>
              <w:t>5</w:t>
            </w:r>
            <w:r w:rsidRPr="00B753F9">
              <w:rPr>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0A76" w14:textId="77777777" w:rsidR="00716DD4" w:rsidRDefault="00716DD4" w:rsidP="00B753F9">
      <w:r>
        <w:separator/>
      </w:r>
    </w:p>
  </w:footnote>
  <w:footnote w:type="continuationSeparator" w:id="0">
    <w:p w14:paraId="515C5FEA" w14:textId="77777777" w:rsidR="00716DD4" w:rsidRDefault="00716DD4" w:rsidP="00B7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5C28" w14:textId="77777777" w:rsidR="00B07EE1" w:rsidRDefault="00BF57D7" w:rsidP="00B753F9">
    <w:pPr>
      <w:pStyle w:val="Header"/>
    </w:pPr>
    <w:r>
      <w:rPr>
        <w:noProof/>
      </w:rPr>
      <w:drawing>
        <wp:anchor distT="0" distB="0" distL="114300" distR="114300" simplePos="0" relativeHeight="251658240" behindDoc="1" locked="0" layoutInCell="1" allowOverlap="1" wp14:anchorId="191596B8" wp14:editId="6C43DF4B">
          <wp:simplePos x="0" y="0"/>
          <wp:positionH relativeFrom="page">
            <wp:align>left</wp:align>
          </wp:positionH>
          <wp:positionV relativeFrom="page">
            <wp:align>top</wp:align>
          </wp:positionV>
          <wp:extent cx="7560527" cy="12598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24-19 Report template DPIRD WW4WA cover.png"/>
                  <pic:cNvPicPr/>
                </pic:nvPicPr>
                <pic:blipFill rotWithShape="1">
                  <a:blip r:embed="rId1"/>
                  <a:srcRect l="-1" r="-87" b="88205"/>
                  <a:stretch/>
                </pic:blipFill>
                <pic:spPr bwMode="auto">
                  <a:xfrm>
                    <a:off x="0" y="0"/>
                    <a:ext cx="7561487"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10666"/>
    <w:multiLevelType w:val="hybridMultilevel"/>
    <w:tmpl w:val="3E7C81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200302"/>
    <w:multiLevelType w:val="hybridMultilevel"/>
    <w:tmpl w:val="36A6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2762518">
    <w:abstractNumId w:val="0"/>
  </w:num>
  <w:num w:numId="2" w16cid:durableId="337083469">
    <w:abstractNumId w:val="5"/>
  </w:num>
  <w:num w:numId="3" w16cid:durableId="805509024">
    <w:abstractNumId w:val="2"/>
  </w:num>
  <w:num w:numId="4" w16cid:durableId="911356915">
    <w:abstractNumId w:val="1"/>
  </w:num>
  <w:num w:numId="5" w16cid:durableId="1005743650">
    <w:abstractNumId w:val="6"/>
  </w:num>
  <w:num w:numId="6" w16cid:durableId="884372182">
    <w:abstractNumId w:val="4"/>
  </w:num>
  <w:num w:numId="7" w16cid:durableId="1933274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40"/>
    <w:rsid w:val="0000077F"/>
    <w:rsid w:val="00005E7E"/>
    <w:rsid w:val="00072688"/>
    <w:rsid w:val="000B09DC"/>
    <w:rsid w:val="000D097F"/>
    <w:rsid w:val="00102A47"/>
    <w:rsid w:val="001324C9"/>
    <w:rsid w:val="00146311"/>
    <w:rsid w:val="00180348"/>
    <w:rsid w:val="00185792"/>
    <w:rsid w:val="00190A81"/>
    <w:rsid w:val="001B4F0E"/>
    <w:rsid w:val="001C2B0E"/>
    <w:rsid w:val="001F0D67"/>
    <w:rsid w:val="00217540"/>
    <w:rsid w:val="002218D5"/>
    <w:rsid w:val="0025496E"/>
    <w:rsid w:val="002C40A3"/>
    <w:rsid w:val="00304521"/>
    <w:rsid w:val="003107C2"/>
    <w:rsid w:val="00310A0F"/>
    <w:rsid w:val="00314F03"/>
    <w:rsid w:val="00337B8D"/>
    <w:rsid w:val="00347BE8"/>
    <w:rsid w:val="00363FE8"/>
    <w:rsid w:val="003642C0"/>
    <w:rsid w:val="003953E4"/>
    <w:rsid w:val="003A5F25"/>
    <w:rsid w:val="003C48BF"/>
    <w:rsid w:val="0040212D"/>
    <w:rsid w:val="00417CB7"/>
    <w:rsid w:val="004218AB"/>
    <w:rsid w:val="004253D2"/>
    <w:rsid w:val="004369C9"/>
    <w:rsid w:val="00437B3A"/>
    <w:rsid w:val="00454FAF"/>
    <w:rsid w:val="00470FD8"/>
    <w:rsid w:val="004D61F3"/>
    <w:rsid w:val="004E557B"/>
    <w:rsid w:val="00510501"/>
    <w:rsid w:val="005205A1"/>
    <w:rsid w:val="00527513"/>
    <w:rsid w:val="0057626A"/>
    <w:rsid w:val="005846E6"/>
    <w:rsid w:val="005864D5"/>
    <w:rsid w:val="005A7D8E"/>
    <w:rsid w:val="005B0200"/>
    <w:rsid w:val="005D454D"/>
    <w:rsid w:val="0060777A"/>
    <w:rsid w:val="0065143B"/>
    <w:rsid w:val="00654455"/>
    <w:rsid w:val="00660469"/>
    <w:rsid w:val="0067732A"/>
    <w:rsid w:val="006F2700"/>
    <w:rsid w:val="007066FC"/>
    <w:rsid w:val="00716DD4"/>
    <w:rsid w:val="007806FD"/>
    <w:rsid w:val="007B0EC0"/>
    <w:rsid w:val="007D338B"/>
    <w:rsid w:val="00825066"/>
    <w:rsid w:val="008550E1"/>
    <w:rsid w:val="00855C09"/>
    <w:rsid w:val="00866885"/>
    <w:rsid w:val="00914295"/>
    <w:rsid w:val="009539BB"/>
    <w:rsid w:val="009542C2"/>
    <w:rsid w:val="00966B93"/>
    <w:rsid w:val="009D2AFA"/>
    <w:rsid w:val="009F4AD0"/>
    <w:rsid w:val="00A06D2D"/>
    <w:rsid w:val="00A424DC"/>
    <w:rsid w:val="00AA5EC5"/>
    <w:rsid w:val="00AD752D"/>
    <w:rsid w:val="00AE393E"/>
    <w:rsid w:val="00B0112D"/>
    <w:rsid w:val="00B07EE1"/>
    <w:rsid w:val="00B35AB3"/>
    <w:rsid w:val="00B7194A"/>
    <w:rsid w:val="00B753F9"/>
    <w:rsid w:val="00B81C43"/>
    <w:rsid w:val="00BD08C5"/>
    <w:rsid w:val="00BF42BB"/>
    <w:rsid w:val="00BF57D7"/>
    <w:rsid w:val="00C2645B"/>
    <w:rsid w:val="00C65467"/>
    <w:rsid w:val="00C72B00"/>
    <w:rsid w:val="00CC0016"/>
    <w:rsid w:val="00CF1AB1"/>
    <w:rsid w:val="00D0134A"/>
    <w:rsid w:val="00D02DAC"/>
    <w:rsid w:val="00D04242"/>
    <w:rsid w:val="00D30530"/>
    <w:rsid w:val="00D63261"/>
    <w:rsid w:val="00DB0844"/>
    <w:rsid w:val="00DC3C88"/>
    <w:rsid w:val="00DD1C77"/>
    <w:rsid w:val="00DE2B40"/>
    <w:rsid w:val="00DF17D3"/>
    <w:rsid w:val="00E618F9"/>
    <w:rsid w:val="00EA0B44"/>
    <w:rsid w:val="00EB0F40"/>
    <w:rsid w:val="00EC059F"/>
    <w:rsid w:val="00ED05E5"/>
    <w:rsid w:val="00F1377E"/>
    <w:rsid w:val="00F34080"/>
    <w:rsid w:val="00F42BA6"/>
    <w:rsid w:val="00F75A69"/>
    <w:rsid w:val="00FA37E4"/>
    <w:rsid w:val="00FE17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240D"/>
  <w15:docId w15:val="{C46E7E31-69F7-4382-BE7D-FCD1E266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F9"/>
    <w:pPr>
      <w:spacing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8550E1"/>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53F9"/>
    <w:pPr>
      <w:spacing w:after="0"/>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8550E1"/>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iPriority w:val="99"/>
    <w:unhideWhenUsed/>
    <w:rsid w:val="00337B8D"/>
    <w:pPr>
      <w:tabs>
        <w:tab w:val="center" w:pos="4513"/>
        <w:tab w:val="right" w:pos="9026"/>
      </w:tabs>
      <w:spacing w:after="0"/>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539BB"/>
    <w:pPr>
      <w:spacing w:before="600" w:after="120"/>
    </w:pPr>
    <w:rPr>
      <w:b/>
      <w:noProof/>
      <w:color w:val="003C69"/>
      <w:sz w:val="40"/>
      <w:szCs w:val="40"/>
    </w:rPr>
  </w:style>
  <w:style w:type="character" w:customStyle="1" w:styleId="TitleChar">
    <w:name w:val="Title Char"/>
    <w:aliases w:val="Title / masthead Char"/>
    <w:basedOn w:val="DefaultParagraphFont"/>
    <w:link w:val="Title"/>
    <w:uiPriority w:val="10"/>
    <w:rsid w:val="009539BB"/>
    <w:rPr>
      <w:rFonts w:ascii="Arial" w:hAnsi="Arial"/>
      <w:b/>
      <w:noProof/>
      <w:color w:val="003C69"/>
      <w:sz w:val="40"/>
      <w:szCs w:val="40"/>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310A0F"/>
    <w:rPr>
      <w:rFonts w:ascii="Arial" w:hAnsi="Arial"/>
      <w:b/>
      <w:bCs/>
      <w:color w:val="262626" w:themeColor="text1" w:themeTint="D9"/>
      <w:sz w:val="24"/>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753F9"/>
    <w:rPr>
      <w:rFonts w:ascii="Arial" w:hAnsi="Arial"/>
      <w:color w:val="000000" w:themeColor="text1"/>
      <w:sz w:val="24"/>
    </w:rPr>
  </w:style>
  <w:style w:type="paragraph" w:styleId="BodyText">
    <w:name w:val="Body Text"/>
    <w:basedOn w:val="Normal"/>
    <w:link w:val="BodyTextChar"/>
    <w:autoRedefine/>
    <w:rsid w:val="00B07EE1"/>
    <w:pPr>
      <w:keepNext/>
      <w:spacing w:after="120"/>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pPr>
    <w:rPr>
      <w:iCs/>
      <w:spacing w:val="20"/>
      <w:szCs w:val="18"/>
    </w:rPr>
  </w:style>
  <w:style w:type="paragraph" w:styleId="BalloonText">
    <w:name w:val="Balloon Text"/>
    <w:basedOn w:val="Normal"/>
    <w:link w:val="BalloonTextChar"/>
    <w:uiPriority w:val="99"/>
    <w:semiHidden/>
    <w:unhideWhenUsed/>
    <w:rsid w:val="005A7D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qFormat/>
    <w:rsid w:val="003C48BF"/>
    <w:pPr>
      <w:spacing w:after="100" w:afterAutospacing="1"/>
    </w:pPr>
    <w:rPr>
      <w:b/>
      <w:color w:val="FFFFFF" w:themeColor="background1"/>
    </w:rPr>
  </w:style>
  <w:style w:type="character" w:customStyle="1" w:styleId="TableheadingChar">
    <w:name w:val="Table heading Char"/>
    <w:basedOn w:val="DefaultParagraphFont"/>
    <w:link w:val="Tableheading"/>
    <w:rsid w:val="003C48BF"/>
    <w:rPr>
      <w:rFonts w:ascii="Arial" w:hAnsi="Arial"/>
      <w:b/>
      <w:color w:val="FFFFFF" w:themeColor="background1"/>
      <w:sz w:val="24"/>
    </w:rPr>
  </w:style>
  <w:style w:type="paragraph" w:styleId="TOC1">
    <w:name w:val="toc 1"/>
    <w:basedOn w:val="Normal"/>
    <w:next w:val="Normal"/>
    <w:autoRedefine/>
    <w:uiPriority w:val="39"/>
    <w:unhideWhenUsed/>
    <w:rsid w:val="00072688"/>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072688"/>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072688"/>
    <w:pPr>
      <w:spacing w:after="0"/>
      <w:ind w:left="480"/>
    </w:pPr>
    <w:rPr>
      <w:rFonts w:asciiTheme="minorHAnsi" w:hAnsiTheme="minorHAnsi" w:cstheme="minorHAnsi"/>
      <w:sz w:val="20"/>
      <w:szCs w:val="20"/>
    </w:rPr>
  </w:style>
  <w:style w:type="paragraph" w:customStyle="1" w:styleId="BasicParagraph">
    <w:name w:val="[Basic Paragraph]"/>
    <w:basedOn w:val="Normal"/>
    <w:uiPriority w:val="99"/>
    <w:rsid w:val="007B0EC0"/>
    <w:pPr>
      <w:autoSpaceDE w:val="0"/>
      <w:autoSpaceDN w:val="0"/>
      <w:adjustRightInd w:val="0"/>
      <w:spacing w:after="0" w:line="288" w:lineRule="auto"/>
      <w:textAlignment w:val="center"/>
    </w:pPr>
    <w:rPr>
      <w:rFonts w:ascii="Minion Pro" w:hAnsi="Minion Pro" w:cs="Minion Pro"/>
      <w:color w:val="000000"/>
      <w:szCs w:val="24"/>
      <w:lang w:val="en-US"/>
    </w:rPr>
  </w:style>
  <w:style w:type="paragraph" w:styleId="TOCHeading">
    <w:name w:val="TOC Heading"/>
    <w:basedOn w:val="Heading1"/>
    <w:next w:val="Normal"/>
    <w:uiPriority w:val="39"/>
    <w:unhideWhenUsed/>
    <w:qFormat/>
    <w:rsid w:val="00B0112D"/>
    <w:pPr>
      <w:spacing w:before="480" w:after="0" w:line="276" w:lineRule="auto"/>
      <w:outlineLvl w:val="9"/>
    </w:pPr>
    <w:rPr>
      <w:rFonts w:asciiTheme="majorHAnsi" w:hAnsiTheme="majorHAnsi"/>
      <w:bCs/>
      <w:color w:val="2E74B5" w:themeColor="accent1" w:themeShade="BF"/>
      <w:sz w:val="28"/>
      <w:szCs w:val="28"/>
      <w:lang w:val="en-US"/>
    </w:rPr>
  </w:style>
  <w:style w:type="paragraph" w:styleId="TOC4">
    <w:name w:val="toc 4"/>
    <w:basedOn w:val="Normal"/>
    <w:next w:val="Normal"/>
    <w:autoRedefine/>
    <w:uiPriority w:val="39"/>
    <w:semiHidden/>
    <w:unhideWhenUsed/>
    <w:rsid w:val="00B0112D"/>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0112D"/>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0112D"/>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0112D"/>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0112D"/>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0112D"/>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mpson\Downloads\Report%20template%20DPIRD%20WW4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B542-D463-6340-B47C-5C1F0A02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DPIRD WW4WA</Template>
  <TotalTime>8</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Department of Primary Industries and Regional Development</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Simpson</dc:creator>
  <cp:keywords/>
  <dc:description/>
  <cp:lastModifiedBy>Naomi Simpson</cp:lastModifiedBy>
  <cp:revision>8</cp:revision>
  <dcterms:created xsi:type="dcterms:W3CDTF">2022-07-06T05:48:00Z</dcterms:created>
  <dcterms:modified xsi:type="dcterms:W3CDTF">2022-07-06T05:58:00Z</dcterms:modified>
  <cp:category/>
</cp:coreProperties>
</file>